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jpeg" ContentType="image/jpeg"/>
  <Default Extension="png" ContentType="image/png"/>
  <Default Extension="gif" ContentType="image/gi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ascii="宋体" w:hAnsi="宋体" w:eastAsia="宋体" w:cs="Times New Roman"/>
          <w:szCs w:val="24"/>
        </w:rPr>
        <w:id w:val="147467917"/>
        <w:docPartObj>
          <w:docPartGallery w:val="Table of Contents"/>
          <w:docPartUnique/>
        </w:docPartObj>
      </w:sdtPr>
      <w:sdtEndPr>
        <w:rPr>
          <w:rFonts w:ascii="Times New Roman" w:hAnsi="Times New Roman" w:eastAsia="宋体" w:cs="Times New Roman"/>
          <w:sz w:val="20"/>
          <w:szCs w:val="20"/>
        </w:rPr>
      </w:sdtEndPr>
      <w:sdtContent>
        <w:p>
          <w:pPr>
            <w:jc w:val="center"/>
            <w:rPr>
              <w:sz w:val="44"/>
              <w:szCs w:val="44"/>
            </w:rPr>
          </w:pPr>
          <w:bookmarkStart w:id="0" w:name="_Toc28080_WPSOffice_Type3"/>
          <w:r>
            <w:rPr>
              <w:rFonts w:ascii="宋体" w:hAnsi="宋体" w:eastAsia="宋体"/>
              <w:sz w:val="44"/>
              <w:szCs w:val="44"/>
            </w:rPr>
            <w:t>目</w:t>
          </w:r>
          <w:r>
            <w:rPr>
              <w:rFonts w:hint="eastAsia" w:ascii="宋体" w:hAnsi="宋体" w:eastAsia="宋体"/>
              <w:sz w:val="44"/>
              <w:szCs w:val="44"/>
            </w:rPr>
            <w:t xml:space="preserve">  </w:t>
          </w:r>
          <w:r>
            <w:rPr>
              <w:rFonts w:ascii="宋体" w:hAnsi="宋体" w:eastAsia="宋体"/>
              <w:sz w:val="44"/>
              <w:szCs w:val="44"/>
            </w:rPr>
            <w:t>录</w:t>
          </w:r>
        </w:p>
        <w:p>
          <w:pPr>
            <w:pStyle w:val="27"/>
            <w:tabs>
              <w:tab w:val="right" w:leader="dot" w:pos="8306"/>
            </w:tabs>
            <w:rPr>
              <w:rFonts w:ascii="宋体" w:hAnsi="宋体" w:cs="宋体"/>
              <w:sz w:val="28"/>
              <w:szCs w:val="28"/>
            </w:rPr>
          </w:pPr>
          <w:r>
            <w:fldChar w:fldCharType="begin"/>
          </w:r>
          <w:r>
            <w:instrText xml:space="preserve"> HYPERLINK \l "_Toc2_WPSOffice_Level1" </w:instrText>
          </w:r>
          <w:r>
            <w:fldChar w:fldCharType="separate"/>
          </w:r>
          <w:r>
            <w:rPr>
              <w:rFonts w:hint="eastAsia" w:ascii="宋体" w:hAnsi="宋体" w:cs="宋体"/>
              <w:sz w:val="28"/>
              <w:szCs w:val="28"/>
            </w:rPr>
            <w:t>第一章  总论</w:t>
          </w:r>
          <w:r>
            <w:rPr>
              <w:rFonts w:hint="eastAsia" w:ascii="宋体" w:hAnsi="宋体" w:cs="宋体"/>
              <w:sz w:val="28"/>
              <w:szCs w:val="28"/>
            </w:rPr>
            <w:tab/>
          </w:r>
          <w:bookmarkStart w:id="1" w:name="_Toc2_WPSOffice_Level1Page"/>
          <w:r>
            <w:rPr>
              <w:rFonts w:hint="eastAsia" w:ascii="宋体" w:hAnsi="宋体" w:cs="宋体"/>
              <w:sz w:val="28"/>
              <w:szCs w:val="28"/>
            </w:rPr>
            <w:t>7</w:t>
          </w:r>
          <w:bookmarkEnd w:id="1"/>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"_Toc28080_WPSOffice_Level2" </w:instrText>
          </w:r>
          <w:r>
            <w:fldChar w:fldCharType="separate"/>
          </w:r>
          <w:r>
            <w:rPr>
              <w:rFonts w:hint="eastAsia" w:ascii="宋体" w:hAnsi="宋体" w:cs="宋体"/>
              <w:sz w:val="24"/>
              <w:szCs w:val="24"/>
            </w:rPr>
            <w:t>1.1概述</w:t>
          </w:r>
          <w:r>
            <w:rPr>
              <w:rFonts w:hint="eastAsia" w:ascii="宋体" w:hAnsi="宋体" w:cs="宋体"/>
              <w:sz w:val="24"/>
              <w:szCs w:val="24"/>
            </w:rPr>
            <w:tab/>
          </w:r>
          <w:bookmarkStart w:id="2" w:name="_Toc28080_WPSOffice_Level2Page"/>
          <w:r>
            <w:rPr>
              <w:rFonts w:hint="eastAsia" w:ascii="宋体" w:hAnsi="宋体" w:cs="宋体"/>
              <w:sz w:val="24"/>
              <w:szCs w:val="24"/>
            </w:rPr>
            <w:t>7</w:t>
          </w:r>
          <w:bookmarkEnd w:id="2"/>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"_Toc32291_WPSOffice_Level2" </w:instrText>
          </w:r>
          <w:r>
            <w:fldChar w:fldCharType="separate"/>
          </w:r>
          <w:r>
            <w:rPr>
              <w:rFonts w:hint="eastAsia" w:ascii="宋体" w:hAnsi="宋体" w:cs="宋体"/>
              <w:sz w:val="24"/>
              <w:szCs w:val="24"/>
            </w:rPr>
            <w:t>1.2 编制依据</w:t>
          </w:r>
          <w:r>
            <w:rPr>
              <w:rFonts w:hint="eastAsia" w:ascii="宋体" w:hAnsi="宋体" w:cs="宋体"/>
              <w:sz w:val="24"/>
              <w:szCs w:val="24"/>
            </w:rPr>
            <w:tab/>
          </w:r>
          <w:bookmarkStart w:id="3" w:name="_Toc32291_WPSOffice_Level2Page"/>
          <w:r>
            <w:rPr>
              <w:rFonts w:hint="eastAsia" w:ascii="宋体" w:hAnsi="宋体" w:cs="宋体"/>
              <w:sz w:val="24"/>
              <w:szCs w:val="24"/>
            </w:rPr>
            <w:t>8</w:t>
          </w:r>
          <w:bookmarkEnd w:id="3"/>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"_Toc27247_WPSOffice_Level2" </w:instrText>
          </w:r>
          <w:r>
            <w:fldChar w:fldCharType="separate"/>
          </w:r>
          <w:r>
            <w:rPr>
              <w:rFonts w:hint="eastAsia" w:ascii="宋体" w:hAnsi="宋体" w:cs="宋体"/>
              <w:sz w:val="24"/>
              <w:szCs w:val="24"/>
            </w:rPr>
            <w:t>1.3编制原则</w:t>
          </w:r>
          <w:r>
            <w:rPr>
              <w:rFonts w:hint="eastAsia" w:ascii="宋体" w:hAnsi="宋体" w:cs="宋体"/>
              <w:sz w:val="24"/>
              <w:szCs w:val="24"/>
            </w:rPr>
            <w:tab/>
          </w:r>
          <w:bookmarkStart w:id="4" w:name="_Toc27247_WPSOffice_Level2Page"/>
          <w:r>
            <w:rPr>
              <w:rFonts w:hint="eastAsia" w:ascii="宋体" w:hAnsi="宋体" w:cs="宋体"/>
              <w:sz w:val="24"/>
              <w:szCs w:val="24"/>
            </w:rPr>
            <w:t>9</w:t>
          </w:r>
          <w:bookmarkEnd w:id="4"/>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"_Toc2320_WPSOffice_Level2" </w:instrText>
          </w:r>
          <w:r>
            <w:fldChar w:fldCharType="separate"/>
          </w:r>
          <w:r>
            <w:rPr>
              <w:rFonts w:hint="eastAsia" w:ascii="宋体" w:hAnsi="宋体" w:cs="宋体"/>
              <w:sz w:val="24"/>
              <w:szCs w:val="24"/>
            </w:rPr>
            <w:t>1.4编制范围</w:t>
          </w:r>
          <w:r>
            <w:rPr>
              <w:rFonts w:hint="eastAsia" w:ascii="宋体" w:hAnsi="宋体" w:cs="宋体"/>
              <w:sz w:val="24"/>
              <w:szCs w:val="24"/>
            </w:rPr>
            <w:tab/>
          </w:r>
          <w:bookmarkStart w:id="5" w:name="_Toc2320_WPSOffice_Level2Page"/>
          <w:r>
            <w:rPr>
              <w:rFonts w:hint="eastAsia" w:ascii="宋体" w:hAnsi="宋体" w:cs="宋体"/>
              <w:sz w:val="24"/>
              <w:szCs w:val="24"/>
            </w:rPr>
            <w:t>10</w:t>
          </w:r>
          <w:bookmarkEnd w:id="5"/>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"_Toc3412_WPSOffice_Level2" </w:instrText>
          </w:r>
          <w:r>
            <w:fldChar w:fldCharType="separate"/>
          </w:r>
          <w:r>
            <w:rPr>
              <w:rFonts w:hint="eastAsia" w:ascii="宋体" w:hAnsi="宋体" w:cs="宋体"/>
              <w:sz w:val="24"/>
              <w:szCs w:val="24"/>
            </w:rPr>
            <w:t>1.5项目研究结论与建议</w:t>
          </w:r>
          <w:r>
            <w:rPr>
              <w:rFonts w:hint="eastAsia" w:ascii="宋体" w:hAnsi="宋体" w:cs="宋体"/>
              <w:sz w:val="24"/>
              <w:szCs w:val="24"/>
            </w:rPr>
            <w:tab/>
          </w:r>
          <w:bookmarkStart w:id="6" w:name="_Toc3412_WPSOffice_Level2Page"/>
          <w:r>
            <w:rPr>
              <w:rFonts w:hint="eastAsia" w:ascii="宋体" w:hAnsi="宋体" w:cs="宋体"/>
              <w:sz w:val="24"/>
              <w:szCs w:val="24"/>
            </w:rPr>
            <w:t>10</w:t>
          </w:r>
          <w:bookmarkEnd w:id="6"/>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"_Toc2489_WPSOffice_Level1" </w:instrText>
          </w:r>
          <w:r>
            <w:fldChar w:fldCharType="separate"/>
          </w:r>
          <w:r>
            <w:rPr>
              <w:rFonts w:hint="eastAsia" w:ascii="宋体" w:hAnsi="宋体" w:cs="宋体"/>
              <w:sz w:val="28"/>
              <w:szCs w:val="28"/>
            </w:rPr>
            <w:t>第二章  项目背景及必要性</w:t>
          </w:r>
          <w:r>
            <w:rPr>
              <w:rFonts w:hint="eastAsia" w:ascii="宋体" w:hAnsi="宋体" w:cs="宋体"/>
              <w:sz w:val="28"/>
              <w:szCs w:val="28"/>
            </w:rPr>
            <w:tab/>
          </w:r>
          <w:bookmarkStart w:id="7" w:name="_Toc2489_WPSOffice_Level1Page"/>
          <w:r>
            <w:rPr>
              <w:rFonts w:hint="eastAsia" w:ascii="宋体" w:hAnsi="宋体" w:cs="宋体"/>
              <w:sz w:val="28"/>
              <w:szCs w:val="28"/>
            </w:rPr>
            <w:t>12</w:t>
          </w:r>
          <w:bookmarkEnd w:id="7"/>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"_Toc2_WPSOffice_Level2" </w:instrText>
          </w:r>
          <w:r>
            <w:fldChar w:fldCharType="separate"/>
          </w:r>
          <w:r>
            <w:rPr>
              <w:rFonts w:hint="eastAsia" w:ascii="宋体" w:hAnsi="宋体" w:cs="宋体"/>
              <w:sz w:val="24"/>
              <w:szCs w:val="24"/>
            </w:rPr>
            <w:t>2.1项目背景</w:t>
          </w:r>
          <w:r>
            <w:rPr>
              <w:rFonts w:hint="eastAsia" w:ascii="宋体" w:hAnsi="宋体" w:cs="宋体"/>
              <w:sz w:val="24"/>
              <w:szCs w:val="24"/>
            </w:rPr>
            <w:tab/>
          </w:r>
          <w:bookmarkStart w:id="8" w:name="_Toc2_WPSOffice_Level2Page"/>
          <w:r>
            <w:rPr>
              <w:rFonts w:hint="eastAsia" w:ascii="宋体" w:hAnsi="宋体" w:cs="宋体"/>
              <w:sz w:val="24"/>
              <w:szCs w:val="24"/>
            </w:rPr>
            <w:t>12</w:t>
          </w:r>
          <w:bookmarkEnd w:id="8"/>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"_Toc2489_WPSOffice_Level2" </w:instrText>
          </w:r>
          <w:r>
            <w:fldChar w:fldCharType="separate"/>
          </w:r>
          <w:r>
            <w:rPr>
              <w:rFonts w:hint="eastAsia" w:ascii="宋体" w:hAnsi="宋体" w:cs="宋体"/>
              <w:sz w:val="24"/>
              <w:szCs w:val="24"/>
            </w:rPr>
            <w:t>2.2 项目建设的必要性</w:t>
          </w:r>
          <w:r>
            <w:rPr>
              <w:rFonts w:hint="eastAsia" w:ascii="宋体" w:hAnsi="宋体" w:cs="宋体"/>
              <w:sz w:val="24"/>
              <w:szCs w:val="24"/>
            </w:rPr>
            <w:tab/>
          </w:r>
          <w:bookmarkStart w:id="9" w:name="_Toc2489_WPSOffice_Level2Page"/>
          <w:r>
            <w:rPr>
              <w:rFonts w:hint="eastAsia" w:ascii="宋体" w:hAnsi="宋体" w:cs="宋体"/>
              <w:sz w:val="24"/>
              <w:szCs w:val="24"/>
            </w:rPr>
            <w:t>15</w:t>
          </w:r>
          <w:bookmarkEnd w:id="9"/>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"_Toc26304_WPSOffice_Level1" </w:instrText>
          </w:r>
          <w:r>
            <w:fldChar w:fldCharType="separate"/>
          </w:r>
          <w:r>
            <w:rPr>
              <w:rFonts w:hint="eastAsia" w:ascii="宋体" w:hAnsi="宋体" w:cs="宋体"/>
              <w:sz w:val="28"/>
              <w:szCs w:val="28"/>
            </w:rPr>
            <w:t>第三章  市场分析</w:t>
          </w:r>
          <w:r>
            <w:rPr>
              <w:rFonts w:hint="eastAsia" w:ascii="宋体" w:hAnsi="宋体" w:cs="宋体"/>
              <w:sz w:val="28"/>
              <w:szCs w:val="28"/>
            </w:rPr>
            <w:tab/>
          </w:r>
          <w:bookmarkStart w:id="10" w:name="_Toc26304_WPSOffice_Level1Page"/>
          <w:r>
            <w:rPr>
              <w:rFonts w:hint="eastAsia" w:ascii="宋体" w:hAnsi="宋体" w:cs="宋体"/>
              <w:sz w:val="28"/>
              <w:szCs w:val="28"/>
            </w:rPr>
            <w:t>19</w:t>
          </w:r>
          <w:bookmarkEnd w:id="10"/>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"_Toc26304_WPSOffice_Level2" </w:instrText>
          </w:r>
          <w:r>
            <w:fldChar w:fldCharType="separate"/>
          </w:r>
          <w:r>
            <w:rPr>
              <w:rFonts w:hint="eastAsia" w:ascii="宋体" w:hAnsi="宋体" w:cs="宋体"/>
              <w:sz w:val="24"/>
              <w:szCs w:val="24"/>
            </w:rPr>
            <w:t>3.1 行业发展情况</w:t>
          </w:r>
          <w:r>
            <w:rPr>
              <w:rFonts w:hint="eastAsia" w:ascii="宋体" w:hAnsi="宋体" w:cs="宋体"/>
              <w:sz w:val="24"/>
              <w:szCs w:val="24"/>
            </w:rPr>
            <w:tab/>
          </w:r>
          <w:bookmarkStart w:id="11" w:name="_Toc26304_WPSOffice_Level2Page"/>
          <w:r>
            <w:rPr>
              <w:rFonts w:hint="eastAsia" w:ascii="宋体" w:hAnsi="宋体" w:cs="宋体"/>
              <w:sz w:val="24"/>
              <w:szCs w:val="24"/>
            </w:rPr>
            <w:t>19</w:t>
          </w:r>
          <w:bookmarkEnd w:id="11"/>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"_Toc17110_WPSOffice_Level2" </w:instrText>
          </w:r>
          <w:r>
            <w:fldChar w:fldCharType="separate"/>
          </w:r>
          <w:r>
            <w:rPr>
              <w:rFonts w:hint="eastAsia" w:ascii="宋体" w:hAnsi="宋体" w:cs="宋体"/>
              <w:sz w:val="24"/>
              <w:szCs w:val="24"/>
            </w:rPr>
            <w:t>3.2 项目市场分析</w:t>
          </w:r>
          <w:r>
            <w:rPr>
              <w:rFonts w:hint="eastAsia" w:ascii="宋体" w:hAnsi="宋体" w:cs="宋体"/>
              <w:sz w:val="24"/>
              <w:szCs w:val="24"/>
            </w:rPr>
            <w:tab/>
          </w:r>
          <w:bookmarkStart w:id="12" w:name="_Toc17110_WPSOffice_Level2Page"/>
          <w:r>
            <w:rPr>
              <w:rFonts w:hint="eastAsia" w:ascii="宋体" w:hAnsi="宋体" w:cs="宋体"/>
              <w:sz w:val="24"/>
              <w:szCs w:val="24"/>
            </w:rPr>
            <w:t>21</w:t>
          </w:r>
          <w:bookmarkEnd w:id="12"/>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"_Toc17110_WPSOffice_Level1" </w:instrText>
          </w:r>
          <w:r>
            <w:fldChar w:fldCharType="separate"/>
          </w:r>
          <w:r>
            <w:rPr>
              <w:rFonts w:hint="eastAsia" w:ascii="宋体" w:hAnsi="宋体" w:cs="宋体"/>
              <w:sz w:val="28"/>
              <w:szCs w:val="28"/>
            </w:rPr>
            <w:t>第四章  垃圾预测及项目规模</w:t>
          </w:r>
          <w:r>
            <w:rPr>
              <w:rFonts w:hint="eastAsia" w:ascii="宋体" w:hAnsi="宋体" w:cs="宋体"/>
              <w:sz w:val="28"/>
              <w:szCs w:val="28"/>
            </w:rPr>
            <w:tab/>
          </w:r>
          <w:bookmarkStart w:id="13" w:name="_Toc17110_WPSOffice_Level1Page"/>
          <w:r>
            <w:rPr>
              <w:rFonts w:hint="eastAsia" w:ascii="宋体" w:hAnsi="宋体" w:cs="宋体"/>
              <w:sz w:val="28"/>
              <w:szCs w:val="28"/>
            </w:rPr>
            <w:t>24</w:t>
          </w:r>
          <w:bookmarkEnd w:id="13"/>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"_Toc28676_WPSOffice_Level2" </w:instrText>
          </w:r>
          <w:r>
            <w:fldChar w:fldCharType="separate"/>
          </w:r>
          <w:r>
            <w:rPr>
              <w:rFonts w:hint="eastAsia" w:ascii="宋体" w:hAnsi="宋体" w:cs="宋体"/>
              <w:sz w:val="24"/>
              <w:szCs w:val="24"/>
            </w:rPr>
            <w:t>4.1城市人口预测</w:t>
          </w:r>
          <w:r>
            <w:rPr>
              <w:rFonts w:hint="eastAsia" w:ascii="宋体" w:hAnsi="宋体" w:cs="宋体"/>
              <w:sz w:val="24"/>
              <w:szCs w:val="24"/>
            </w:rPr>
            <w:tab/>
          </w:r>
          <w:bookmarkStart w:id="14" w:name="_Toc28676_WPSOffice_Level2Page"/>
          <w:r>
            <w:rPr>
              <w:rFonts w:hint="eastAsia" w:ascii="宋体" w:hAnsi="宋体" w:cs="宋体"/>
              <w:sz w:val="24"/>
              <w:szCs w:val="24"/>
            </w:rPr>
            <w:t>24</w:t>
          </w:r>
          <w:bookmarkEnd w:id="14"/>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"_Toc4949_WPSOffice_Level2" </w:instrText>
          </w:r>
          <w:r>
            <w:fldChar w:fldCharType="separate"/>
          </w:r>
          <w:r>
            <w:rPr>
              <w:rFonts w:hint="eastAsia" w:ascii="宋体" w:hAnsi="宋体" w:cs="宋体"/>
              <w:sz w:val="24"/>
              <w:szCs w:val="24"/>
            </w:rPr>
            <w:t>4.2分类处理户数分析预测</w:t>
          </w:r>
          <w:r>
            <w:rPr>
              <w:rFonts w:hint="eastAsia" w:ascii="宋体" w:hAnsi="宋体" w:cs="宋体"/>
              <w:sz w:val="24"/>
              <w:szCs w:val="24"/>
            </w:rPr>
            <w:tab/>
          </w:r>
          <w:bookmarkStart w:id="15" w:name="_Toc4949_WPSOffice_Level2Page"/>
          <w:r>
            <w:rPr>
              <w:rFonts w:hint="eastAsia" w:ascii="宋体" w:hAnsi="宋体" w:cs="宋体"/>
              <w:sz w:val="24"/>
              <w:szCs w:val="24"/>
            </w:rPr>
            <w:t>24</w:t>
          </w:r>
          <w:bookmarkEnd w:id="15"/>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"_Toc6982_WPSOffice_Level2" </w:instrText>
          </w:r>
          <w:r>
            <w:fldChar w:fldCharType="separate"/>
          </w:r>
          <w:r>
            <w:rPr>
              <w:rFonts w:hint="eastAsia" w:ascii="宋体" w:hAnsi="宋体" w:cs="宋体"/>
              <w:sz w:val="24"/>
              <w:szCs w:val="24"/>
            </w:rPr>
            <w:t>4.3城市垃圾产生量预测</w:t>
          </w:r>
          <w:r>
            <w:rPr>
              <w:rFonts w:hint="eastAsia" w:ascii="宋体" w:hAnsi="宋体" w:cs="宋体"/>
              <w:sz w:val="24"/>
              <w:szCs w:val="24"/>
            </w:rPr>
            <w:tab/>
          </w:r>
          <w:bookmarkStart w:id="16" w:name="_Toc6982_WPSOffice_Level2Page"/>
          <w:r>
            <w:rPr>
              <w:rFonts w:hint="eastAsia" w:ascii="宋体" w:hAnsi="宋体" w:cs="宋体"/>
              <w:sz w:val="24"/>
              <w:szCs w:val="24"/>
            </w:rPr>
            <w:t>25</w:t>
          </w:r>
          <w:bookmarkEnd w:id="16"/>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"_Toc5755_WPSOffice_Level2" </w:instrText>
          </w:r>
          <w:r>
            <w:fldChar w:fldCharType="separate"/>
          </w:r>
          <w:r>
            <w:rPr>
              <w:rFonts w:hint="eastAsia" w:ascii="宋体" w:hAnsi="宋体" w:cs="宋体"/>
              <w:sz w:val="24"/>
              <w:szCs w:val="24"/>
            </w:rPr>
            <w:t>4.4生活垃圾成分的分析</w:t>
          </w:r>
          <w:r>
            <w:rPr>
              <w:rFonts w:hint="eastAsia" w:ascii="宋体" w:hAnsi="宋体" w:cs="宋体"/>
              <w:sz w:val="24"/>
              <w:szCs w:val="24"/>
            </w:rPr>
            <w:tab/>
          </w:r>
          <w:bookmarkStart w:id="17" w:name="_Toc5755_WPSOffice_Level2Page"/>
          <w:r>
            <w:rPr>
              <w:rFonts w:hint="eastAsia" w:ascii="宋体" w:hAnsi="宋体" w:cs="宋体"/>
              <w:sz w:val="24"/>
              <w:szCs w:val="24"/>
            </w:rPr>
            <w:t>27</w:t>
          </w:r>
          <w:bookmarkEnd w:id="17"/>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"_Toc29106_WPSOffice_Level2" </w:instrText>
          </w:r>
          <w:r>
            <w:fldChar w:fldCharType="separate"/>
          </w:r>
          <w:r>
            <w:rPr>
              <w:rFonts w:hint="eastAsia" w:ascii="宋体" w:hAnsi="宋体" w:cs="宋体"/>
              <w:sz w:val="24"/>
              <w:szCs w:val="24"/>
            </w:rPr>
            <w:t>4.5生活垃圾处理规模</w:t>
          </w:r>
          <w:r>
            <w:rPr>
              <w:rFonts w:hint="eastAsia" w:ascii="宋体" w:hAnsi="宋体" w:cs="宋体"/>
              <w:sz w:val="24"/>
              <w:szCs w:val="24"/>
            </w:rPr>
            <w:tab/>
          </w:r>
          <w:bookmarkStart w:id="18" w:name="_Toc29106_WPSOffice_Level2Page"/>
          <w:r>
            <w:rPr>
              <w:rFonts w:hint="eastAsia" w:ascii="宋体" w:hAnsi="宋体" w:cs="宋体"/>
              <w:sz w:val="24"/>
              <w:szCs w:val="24"/>
            </w:rPr>
            <w:t>28</w:t>
          </w:r>
          <w:bookmarkEnd w:id="18"/>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"_Toc10170_WPSOffice_Level2" </w:instrText>
          </w:r>
          <w:r>
            <w:fldChar w:fldCharType="separate"/>
          </w:r>
          <w:r>
            <w:rPr>
              <w:rFonts w:hint="eastAsia" w:ascii="宋体" w:hAnsi="宋体" w:cs="宋体"/>
              <w:sz w:val="24"/>
              <w:szCs w:val="24"/>
            </w:rPr>
            <w:t>4.6分拣中心建设规模</w:t>
          </w:r>
          <w:r>
            <w:rPr>
              <w:rFonts w:hint="eastAsia" w:ascii="宋体" w:hAnsi="宋体" w:cs="宋体"/>
              <w:sz w:val="24"/>
              <w:szCs w:val="24"/>
            </w:rPr>
            <w:tab/>
          </w:r>
          <w:bookmarkStart w:id="19" w:name="_Toc10170_WPSOffice_Level2Page"/>
          <w:r>
            <w:rPr>
              <w:rFonts w:hint="eastAsia" w:ascii="宋体" w:hAnsi="宋体" w:cs="宋体"/>
              <w:sz w:val="24"/>
              <w:szCs w:val="24"/>
            </w:rPr>
            <w:t>29</w:t>
          </w:r>
          <w:bookmarkEnd w:id="19"/>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"_Toc28676_WPSOffice_Level1" </w:instrText>
          </w:r>
          <w:r>
            <w:fldChar w:fldCharType="separate"/>
          </w:r>
          <w:r>
            <w:rPr>
              <w:rFonts w:hint="eastAsia" w:ascii="宋体" w:hAnsi="宋体" w:cs="宋体"/>
              <w:sz w:val="28"/>
              <w:szCs w:val="28"/>
            </w:rPr>
            <w:t>第五章  项目地区建设条件</w:t>
          </w:r>
          <w:r>
            <w:rPr>
              <w:rFonts w:hint="eastAsia" w:ascii="宋体" w:hAnsi="宋体" w:cs="宋体"/>
              <w:sz w:val="28"/>
              <w:szCs w:val="28"/>
            </w:rPr>
            <w:tab/>
          </w:r>
          <w:bookmarkStart w:id="20" w:name="_Toc28676_WPSOffice_Level1Page"/>
          <w:r>
            <w:rPr>
              <w:rFonts w:hint="eastAsia" w:ascii="宋体" w:hAnsi="宋体" w:cs="宋体"/>
              <w:sz w:val="28"/>
              <w:szCs w:val="28"/>
            </w:rPr>
            <w:t>30</w:t>
          </w:r>
          <w:bookmarkEnd w:id="20"/>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"_Toc25606_WPSOffice_Level2" </w:instrText>
          </w:r>
          <w:r>
            <w:fldChar w:fldCharType="separate"/>
          </w:r>
          <w:r>
            <w:rPr>
              <w:rFonts w:hint="eastAsia" w:ascii="宋体" w:hAnsi="宋体" w:cs="宋体"/>
              <w:sz w:val="24"/>
              <w:szCs w:val="24"/>
            </w:rPr>
            <w:t>5.1 区位条件</w:t>
          </w:r>
          <w:r>
            <w:rPr>
              <w:rFonts w:hint="eastAsia" w:ascii="宋体" w:hAnsi="宋体" w:cs="宋体"/>
              <w:sz w:val="24"/>
              <w:szCs w:val="24"/>
            </w:rPr>
            <w:tab/>
          </w:r>
          <w:bookmarkStart w:id="21" w:name="_Toc25606_WPSOffice_Level2Page"/>
          <w:r>
            <w:rPr>
              <w:rFonts w:hint="eastAsia" w:ascii="宋体" w:hAnsi="宋体" w:cs="宋体"/>
              <w:sz w:val="24"/>
              <w:szCs w:val="24"/>
            </w:rPr>
            <w:t>30</w:t>
          </w:r>
          <w:bookmarkEnd w:id="21"/>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"_Toc13222_WPSOffice_Level2" </w:instrText>
          </w:r>
          <w:r>
            <w:fldChar w:fldCharType="separate"/>
          </w:r>
          <w:r>
            <w:rPr>
              <w:rFonts w:hint="eastAsia" w:ascii="宋体" w:hAnsi="宋体" w:cs="宋体"/>
              <w:sz w:val="24"/>
              <w:szCs w:val="24"/>
            </w:rPr>
            <w:t>5.2 自然地理</w:t>
          </w:r>
          <w:r>
            <w:rPr>
              <w:rFonts w:hint="eastAsia" w:ascii="宋体" w:hAnsi="宋体" w:cs="宋体"/>
              <w:sz w:val="24"/>
              <w:szCs w:val="24"/>
            </w:rPr>
            <w:tab/>
          </w:r>
          <w:bookmarkStart w:id="22" w:name="_Toc13222_WPSOffice_Level2Page"/>
          <w:r>
            <w:rPr>
              <w:rFonts w:hint="eastAsia" w:ascii="宋体" w:hAnsi="宋体" w:cs="宋体"/>
              <w:sz w:val="24"/>
              <w:szCs w:val="24"/>
            </w:rPr>
            <w:t>30</w:t>
          </w:r>
          <w:bookmarkEnd w:id="22"/>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"_Toc6188_WPSOffice_Level2" </w:instrText>
          </w:r>
          <w:r>
            <w:fldChar w:fldCharType="separate"/>
          </w:r>
          <w:r>
            <w:rPr>
              <w:rFonts w:hint="eastAsia" w:ascii="宋体" w:hAnsi="宋体" w:cs="宋体"/>
              <w:sz w:val="24"/>
              <w:szCs w:val="24"/>
            </w:rPr>
            <w:t>5.3 社会经济条件</w:t>
          </w:r>
          <w:r>
            <w:rPr>
              <w:rFonts w:hint="eastAsia" w:ascii="宋体" w:hAnsi="宋体" w:cs="宋体"/>
              <w:sz w:val="24"/>
              <w:szCs w:val="24"/>
            </w:rPr>
            <w:tab/>
          </w:r>
          <w:bookmarkStart w:id="23" w:name="_Toc6188_WPSOffice_Level2Page"/>
          <w:r>
            <w:rPr>
              <w:rFonts w:hint="eastAsia" w:ascii="宋体" w:hAnsi="宋体" w:cs="宋体"/>
              <w:sz w:val="24"/>
              <w:szCs w:val="24"/>
            </w:rPr>
            <w:t>33</w:t>
          </w:r>
          <w:bookmarkEnd w:id="23"/>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"_Toc4949_WPSOffice_Level1" </w:instrText>
          </w:r>
          <w:r>
            <w:fldChar w:fldCharType="separate"/>
          </w:r>
          <w:r>
            <w:rPr>
              <w:rFonts w:hint="eastAsia" w:ascii="宋体" w:hAnsi="宋体" w:cs="宋体"/>
              <w:sz w:val="28"/>
              <w:szCs w:val="28"/>
            </w:rPr>
            <w:t>第六章  项目技术方案</w:t>
          </w:r>
          <w:r>
            <w:rPr>
              <w:rFonts w:hint="eastAsia" w:ascii="宋体" w:hAnsi="宋体" w:cs="宋体"/>
              <w:sz w:val="28"/>
              <w:szCs w:val="28"/>
            </w:rPr>
            <w:tab/>
          </w:r>
          <w:bookmarkStart w:id="24" w:name="_Toc4949_WPSOffice_Level1Page"/>
          <w:r>
            <w:rPr>
              <w:rFonts w:hint="eastAsia" w:ascii="宋体" w:hAnsi="宋体" w:cs="宋体"/>
              <w:sz w:val="28"/>
              <w:szCs w:val="28"/>
            </w:rPr>
            <w:t>35</w:t>
          </w:r>
          <w:bookmarkEnd w:id="24"/>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"_Toc3480_WPSOffice_Level2" </w:instrText>
          </w:r>
          <w:r>
            <w:fldChar w:fldCharType="separate"/>
          </w:r>
          <w:r>
            <w:rPr>
              <w:rFonts w:hint="eastAsia" w:ascii="宋体" w:hAnsi="宋体" w:cs="宋体"/>
              <w:sz w:val="24"/>
              <w:szCs w:val="24"/>
            </w:rPr>
            <w:t>6.1项目概况</w:t>
          </w:r>
          <w:r>
            <w:rPr>
              <w:rFonts w:hint="eastAsia" w:ascii="宋体" w:hAnsi="宋体" w:cs="宋体"/>
              <w:sz w:val="24"/>
              <w:szCs w:val="24"/>
            </w:rPr>
            <w:tab/>
          </w:r>
          <w:bookmarkStart w:id="25" w:name="_Toc3480_WPSOffice_Level2Page"/>
          <w:r>
            <w:rPr>
              <w:rFonts w:hint="eastAsia" w:ascii="宋体" w:hAnsi="宋体" w:cs="宋体"/>
              <w:sz w:val="24"/>
              <w:szCs w:val="24"/>
            </w:rPr>
            <w:t>35</w:t>
          </w:r>
          <w:bookmarkEnd w:id="25"/>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"_Toc11463_WPSOffice_Level2" </w:instrText>
          </w:r>
          <w:r>
            <w:fldChar w:fldCharType="separate"/>
          </w:r>
          <w:r>
            <w:rPr>
              <w:rFonts w:hint="eastAsia" w:ascii="宋体" w:hAnsi="宋体" w:cs="宋体"/>
              <w:sz w:val="24"/>
              <w:szCs w:val="24"/>
            </w:rPr>
            <w:t>6.2项目目标</w:t>
          </w:r>
          <w:r>
            <w:rPr>
              <w:rFonts w:hint="eastAsia" w:ascii="宋体" w:hAnsi="宋体" w:cs="宋体"/>
              <w:sz w:val="24"/>
              <w:szCs w:val="24"/>
            </w:rPr>
            <w:tab/>
          </w:r>
          <w:bookmarkStart w:id="26" w:name="_Toc11463_WPSOffice_Level2Page"/>
          <w:r>
            <w:rPr>
              <w:rFonts w:hint="eastAsia" w:ascii="宋体" w:hAnsi="宋体" w:cs="宋体"/>
              <w:sz w:val="24"/>
              <w:szCs w:val="24"/>
            </w:rPr>
            <w:t>38</w:t>
          </w:r>
          <w:bookmarkEnd w:id="26"/>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"_Toc22419_WPSOffice_Level2" </w:instrText>
          </w:r>
          <w:r>
            <w:fldChar w:fldCharType="separate"/>
          </w:r>
          <w:r>
            <w:rPr>
              <w:rFonts w:hint="eastAsia" w:ascii="宋体" w:hAnsi="宋体" w:cs="宋体"/>
              <w:sz w:val="24"/>
              <w:szCs w:val="24"/>
            </w:rPr>
            <w:t>6.3垃圾分类处理措施</w:t>
          </w:r>
          <w:r>
            <w:rPr>
              <w:rFonts w:hint="eastAsia" w:ascii="宋体" w:hAnsi="宋体" w:cs="宋体"/>
              <w:sz w:val="24"/>
              <w:szCs w:val="24"/>
            </w:rPr>
            <w:tab/>
          </w:r>
          <w:bookmarkStart w:id="27" w:name="_Toc22419_WPSOffice_Level2Page"/>
          <w:r>
            <w:rPr>
              <w:rFonts w:hint="eastAsia" w:ascii="宋体" w:hAnsi="宋体" w:cs="宋体"/>
              <w:sz w:val="24"/>
              <w:szCs w:val="24"/>
            </w:rPr>
            <w:t>38</w:t>
          </w:r>
          <w:bookmarkEnd w:id="27"/>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"_Toc6089_WPSOffice_Level3" </w:instrText>
          </w:r>
          <w:r>
            <w:fldChar w:fldCharType="separate"/>
          </w:r>
          <w:r>
            <w:rPr>
              <w:rFonts w:hint="eastAsia" w:ascii="宋体" w:hAnsi="宋体" w:cs="宋体"/>
              <w:sz w:val="24"/>
              <w:szCs w:val="24"/>
            </w:rPr>
            <w:t>6.3.1小区智慧垃圾分类收集系统</w:t>
          </w:r>
          <w:r>
            <w:rPr>
              <w:rFonts w:hint="eastAsia" w:ascii="宋体" w:hAnsi="宋体" w:cs="宋体"/>
              <w:sz w:val="24"/>
              <w:szCs w:val="24"/>
            </w:rPr>
            <w:tab/>
          </w:r>
          <w:bookmarkStart w:id="28" w:name="_Toc6089_WPSOffice_Level3Page"/>
          <w:r>
            <w:rPr>
              <w:rFonts w:hint="eastAsia" w:ascii="宋体" w:hAnsi="宋体" w:cs="宋体"/>
              <w:sz w:val="24"/>
              <w:szCs w:val="24"/>
            </w:rPr>
            <w:t>39</w:t>
          </w:r>
          <w:bookmarkEnd w:id="28"/>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"_Toc2588_WPSOffice_Level3" </w:instrText>
          </w:r>
          <w:r>
            <w:fldChar w:fldCharType="separate"/>
          </w:r>
          <w:r>
            <w:rPr>
              <w:rFonts w:hint="eastAsia" w:ascii="宋体" w:hAnsi="宋体" w:cs="宋体"/>
              <w:sz w:val="24"/>
              <w:szCs w:val="24"/>
            </w:rPr>
            <w:t>6.3.2机关单位垃圾分类收集系统</w:t>
          </w:r>
          <w:r>
            <w:rPr>
              <w:rFonts w:hint="eastAsia" w:ascii="宋体" w:hAnsi="宋体" w:cs="宋体"/>
              <w:sz w:val="24"/>
              <w:szCs w:val="24"/>
            </w:rPr>
            <w:tab/>
          </w:r>
          <w:bookmarkStart w:id="29" w:name="_Toc2588_WPSOffice_Level3Page"/>
          <w:r>
            <w:rPr>
              <w:rFonts w:hint="eastAsia" w:ascii="宋体" w:hAnsi="宋体" w:cs="宋体"/>
              <w:sz w:val="24"/>
              <w:szCs w:val="24"/>
            </w:rPr>
            <w:t>50</w:t>
          </w:r>
          <w:bookmarkEnd w:id="29"/>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sectPr>
              <w:headerReference r:id="rId3" w:type="default"/>
              <w:footerReference r:id="rId4" w:type="default"/>
              <w:type w:val="continuous"/>
              <w:pgSz w:w="11906" w:h="16838"/>
              <w:pgMar w:top="1440" w:right="1800" w:bottom="1440" w:left="1800" w:header="1134" w:footer="992" w:gutter="0"/>
              <w:pgNumType w:start="1"/>
              <w:cols w:space="425" w:num="1"/>
              <w:docGrid w:type="lines" w:linePitch="312" w:charSpace="0"/>
            </w:sectPr>
          </w:pP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"_Toc28286_WPSOffice_Level3" </w:instrText>
          </w:r>
          <w:r>
            <w:fldChar w:fldCharType="separate"/>
          </w:r>
          <w:r>
            <w:rPr>
              <w:rFonts w:hint="eastAsia" w:ascii="宋体" w:hAnsi="宋体" w:cs="宋体"/>
              <w:sz w:val="24"/>
              <w:szCs w:val="24"/>
            </w:rPr>
            <w:t>6.3.3学校垃圾分类收集系统</w:t>
          </w:r>
          <w:r>
            <w:rPr>
              <w:rFonts w:hint="eastAsia" w:ascii="宋体" w:hAnsi="宋体" w:cs="宋体"/>
              <w:sz w:val="24"/>
              <w:szCs w:val="24"/>
            </w:rPr>
            <w:tab/>
          </w:r>
          <w:bookmarkStart w:id="30" w:name="_Toc28286_WPSOffice_Level3Page"/>
          <w:r>
            <w:rPr>
              <w:rFonts w:hint="eastAsia" w:ascii="宋体" w:hAnsi="宋体" w:cs="宋体"/>
              <w:sz w:val="24"/>
              <w:szCs w:val="24"/>
            </w:rPr>
            <w:t>53</w:t>
          </w:r>
          <w:bookmarkEnd w:id="30"/>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"_Toc12474_WPSOffice_Level3" </w:instrText>
          </w:r>
          <w:r>
            <w:fldChar w:fldCharType="separate"/>
          </w:r>
          <w:r>
            <w:rPr>
              <w:rFonts w:hint="eastAsia" w:ascii="宋体" w:hAnsi="宋体" w:cs="宋体"/>
              <w:sz w:val="24"/>
              <w:szCs w:val="24"/>
            </w:rPr>
            <w:t>6.3.4积分兑换系统</w:t>
          </w:r>
          <w:r>
            <w:rPr>
              <w:rFonts w:hint="eastAsia" w:ascii="宋体" w:hAnsi="宋体" w:cs="宋体"/>
              <w:sz w:val="24"/>
              <w:szCs w:val="24"/>
            </w:rPr>
            <w:tab/>
          </w:r>
          <w:bookmarkStart w:id="31" w:name="_Toc12474_WPSOffice_Level3Page"/>
          <w:r>
            <w:rPr>
              <w:rFonts w:hint="eastAsia" w:ascii="宋体" w:hAnsi="宋体" w:cs="宋体"/>
              <w:sz w:val="24"/>
              <w:szCs w:val="24"/>
            </w:rPr>
            <w:t>56</w:t>
          </w:r>
          <w:bookmarkEnd w:id="31"/>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"_Toc30604_WPSOffice_Level3" </w:instrText>
          </w:r>
          <w:r>
            <w:fldChar w:fldCharType="separate"/>
          </w:r>
          <w:r>
            <w:rPr>
              <w:rFonts w:hint="eastAsia" w:ascii="宋体" w:hAnsi="宋体" w:cs="宋体"/>
              <w:sz w:val="24"/>
              <w:szCs w:val="24"/>
            </w:rPr>
            <w:t>6.3.5餐厨垃圾处理设备方案</w:t>
          </w:r>
          <w:r>
            <w:rPr>
              <w:rFonts w:hint="eastAsia" w:ascii="宋体" w:hAnsi="宋体" w:cs="宋体"/>
              <w:sz w:val="24"/>
              <w:szCs w:val="24"/>
            </w:rPr>
            <w:tab/>
          </w:r>
          <w:bookmarkStart w:id="32" w:name="_Toc30604_WPSOffice_Level3Page"/>
          <w:r>
            <w:rPr>
              <w:rFonts w:hint="eastAsia" w:ascii="宋体" w:hAnsi="宋体" w:cs="宋体"/>
              <w:sz w:val="24"/>
              <w:szCs w:val="24"/>
            </w:rPr>
            <w:t>58</w:t>
          </w:r>
          <w:bookmarkEnd w:id="32"/>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"_Toc10100_WPSOffice_Level3" </w:instrText>
          </w:r>
          <w:r>
            <w:fldChar w:fldCharType="separate"/>
          </w:r>
          <w:r>
            <w:rPr>
              <w:rFonts w:hint="eastAsia" w:ascii="宋体" w:hAnsi="宋体" w:cs="宋体"/>
              <w:sz w:val="24"/>
              <w:szCs w:val="24"/>
            </w:rPr>
            <w:t>6.3.6智慧垃圾分类处理管理云平台</w:t>
          </w:r>
          <w:r>
            <w:rPr>
              <w:rFonts w:hint="eastAsia" w:ascii="宋体" w:hAnsi="宋体" w:cs="宋体"/>
              <w:sz w:val="24"/>
              <w:szCs w:val="24"/>
            </w:rPr>
            <w:tab/>
          </w:r>
          <w:bookmarkStart w:id="33" w:name="_Toc10100_WPSOffice_Level3Page"/>
          <w:r>
            <w:rPr>
              <w:rFonts w:hint="eastAsia" w:ascii="宋体" w:hAnsi="宋体" w:cs="宋体"/>
              <w:sz w:val="24"/>
              <w:szCs w:val="24"/>
            </w:rPr>
            <w:t>60</w:t>
          </w:r>
          <w:bookmarkEnd w:id="33"/>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"_Toc17366_WPSOffice_Level3" </w:instrText>
          </w:r>
          <w:r>
            <w:fldChar w:fldCharType="separate"/>
          </w:r>
          <w:r>
            <w:rPr>
              <w:rFonts w:hint="eastAsia" w:ascii="宋体" w:hAnsi="宋体" w:cs="宋体"/>
              <w:sz w:val="24"/>
              <w:szCs w:val="24"/>
            </w:rPr>
            <w:t>5.3.7嘉峪关市生活垃圾分类运营方案</w:t>
          </w:r>
          <w:r>
            <w:rPr>
              <w:rFonts w:hint="eastAsia" w:ascii="宋体" w:hAnsi="宋体" w:cs="宋体"/>
              <w:sz w:val="24"/>
              <w:szCs w:val="24"/>
            </w:rPr>
            <w:tab/>
          </w:r>
          <w:bookmarkStart w:id="34" w:name="_Toc17366_WPSOffice_Level3Page"/>
          <w:r>
            <w:rPr>
              <w:rFonts w:hint="eastAsia" w:ascii="宋体" w:hAnsi="宋体" w:cs="宋体"/>
              <w:sz w:val="24"/>
              <w:szCs w:val="24"/>
            </w:rPr>
            <w:t>62</w:t>
          </w:r>
          <w:bookmarkEnd w:id="34"/>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"_Toc32465_WPSOffice_Level3" </w:instrText>
          </w:r>
          <w:r>
            <w:fldChar w:fldCharType="separate"/>
          </w:r>
          <w:r>
            <w:rPr>
              <w:rFonts w:hint="eastAsia" w:ascii="宋体" w:hAnsi="宋体" w:cs="宋体"/>
              <w:sz w:val="24"/>
              <w:szCs w:val="24"/>
            </w:rPr>
            <w:t>6.3.8垃圾分类宣传</w:t>
          </w:r>
          <w:r>
            <w:rPr>
              <w:rFonts w:hint="eastAsia" w:ascii="宋体" w:hAnsi="宋体" w:cs="宋体"/>
              <w:sz w:val="24"/>
              <w:szCs w:val="24"/>
            </w:rPr>
            <w:tab/>
          </w:r>
          <w:bookmarkStart w:id="35" w:name="_Toc32465_WPSOffice_Level3Page"/>
          <w:r>
            <w:rPr>
              <w:rFonts w:hint="eastAsia" w:ascii="宋体" w:hAnsi="宋体" w:cs="宋体"/>
              <w:sz w:val="24"/>
              <w:szCs w:val="24"/>
            </w:rPr>
            <w:t>76</w:t>
          </w:r>
          <w:bookmarkEnd w:id="35"/>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"_Toc6982_WPSOffice_Level1" </w:instrText>
          </w:r>
          <w:r>
            <w:fldChar w:fldCharType="separate"/>
          </w:r>
          <w:r>
            <w:rPr>
              <w:rFonts w:hint="eastAsia" w:ascii="宋体" w:hAnsi="宋体" w:cs="宋体"/>
              <w:sz w:val="28"/>
              <w:szCs w:val="28"/>
            </w:rPr>
            <w:t>第七章  分拣中心建设方案</w:t>
          </w:r>
          <w:r>
            <w:rPr>
              <w:rFonts w:hint="eastAsia" w:ascii="宋体" w:hAnsi="宋体" w:cs="宋体"/>
              <w:sz w:val="28"/>
              <w:szCs w:val="28"/>
            </w:rPr>
            <w:tab/>
          </w:r>
          <w:bookmarkStart w:id="36" w:name="_Toc6982_WPSOffice_Level1Page"/>
          <w:r>
            <w:rPr>
              <w:rFonts w:hint="eastAsia" w:ascii="宋体" w:hAnsi="宋体" w:cs="宋体"/>
              <w:sz w:val="28"/>
              <w:szCs w:val="28"/>
            </w:rPr>
            <w:t>86</w:t>
          </w:r>
          <w:bookmarkEnd w:id="36"/>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"_Toc27153_WPSOffice_Level2" </w:instrText>
          </w:r>
          <w:r>
            <w:fldChar w:fldCharType="separate"/>
          </w:r>
          <w:r>
            <w:rPr>
              <w:rFonts w:hint="eastAsia" w:ascii="宋体" w:hAnsi="宋体" w:cs="宋体"/>
              <w:sz w:val="24"/>
              <w:szCs w:val="24"/>
            </w:rPr>
            <w:t>7.1分拣中心建设规模确定依据</w:t>
          </w:r>
          <w:r>
            <w:rPr>
              <w:rFonts w:hint="eastAsia" w:ascii="宋体" w:hAnsi="宋体" w:cs="宋体"/>
              <w:sz w:val="24"/>
              <w:szCs w:val="24"/>
            </w:rPr>
            <w:tab/>
          </w:r>
          <w:bookmarkStart w:id="37" w:name="_Toc27153_WPSOffice_Level2Page"/>
          <w:r>
            <w:rPr>
              <w:rFonts w:hint="eastAsia" w:ascii="宋体" w:hAnsi="宋体" w:cs="宋体"/>
              <w:sz w:val="24"/>
              <w:szCs w:val="24"/>
            </w:rPr>
            <w:t>86</w:t>
          </w:r>
          <w:bookmarkEnd w:id="37"/>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"_Toc13860_WPSOffice_Level2" </w:instrText>
          </w:r>
          <w:r>
            <w:fldChar w:fldCharType="separate"/>
          </w:r>
          <w:r>
            <w:rPr>
              <w:rFonts w:hint="eastAsia" w:ascii="宋体" w:hAnsi="宋体" w:cs="宋体"/>
              <w:sz w:val="24"/>
              <w:szCs w:val="24"/>
            </w:rPr>
            <w:t>7.2分拣中心建设规模确定原则</w:t>
          </w:r>
          <w:r>
            <w:rPr>
              <w:rFonts w:hint="eastAsia" w:ascii="宋体" w:hAnsi="宋体" w:cs="宋体"/>
              <w:sz w:val="24"/>
              <w:szCs w:val="24"/>
            </w:rPr>
            <w:tab/>
          </w:r>
          <w:bookmarkStart w:id="38" w:name="_Toc13860_WPSOffice_Level2Page"/>
          <w:r>
            <w:rPr>
              <w:rFonts w:hint="eastAsia" w:ascii="宋体" w:hAnsi="宋体" w:cs="宋体"/>
              <w:sz w:val="24"/>
              <w:szCs w:val="24"/>
            </w:rPr>
            <w:t>86</w:t>
          </w:r>
          <w:bookmarkEnd w:id="38"/>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"_Toc21176_WPSOffice_Level2" </w:instrText>
          </w:r>
          <w:r>
            <w:fldChar w:fldCharType="separate"/>
          </w:r>
          <w:r>
            <w:rPr>
              <w:rFonts w:hint="eastAsia" w:ascii="宋体" w:hAnsi="宋体" w:cs="宋体"/>
              <w:sz w:val="24"/>
              <w:szCs w:val="24"/>
            </w:rPr>
            <w:t>7.3分拣中心的规模确定</w:t>
          </w:r>
          <w:r>
            <w:rPr>
              <w:rFonts w:hint="eastAsia" w:ascii="宋体" w:hAnsi="宋体" w:cs="宋体"/>
              <w:sz w:val="24"/>
              <w:szCs w:val="24"/>
            </w:rPr>
            <w:tab/>
          </w:r>
          <w:bookmarkStart w:id="39" w:name="_Toc21176_WPSOffice_Level2Page"/>
          <w:r>
            <w:rPr>
              <w:rFonts w:hint="eastAsia" w:ascii="宋体" w:hAnsi="宋体" w:cs="宋体"/>
              <w:sz w:val="24"/>
              <w:szCs w:val="24"/>
            </w:rPr>
            <w:t>88</w:t>
          </w:r>
          <w:bookmarkEnd w:id="39"/>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"_Toc6216_WPSOffice_Level2" </w:instrText>
          </w:r>
          <w:r>
            <w:fldChar w:fldCharType="separate"/>
          </w:r>
          <w:r>
            <w:rPr>
              <w:rFonts w:hint="eastAsia" w:ascii="宋体" w:hAnsi="宋体" w:cs="宋体"/>
              <w:sz w:val="24"/>
              <w:szCs w:val="24"/>
            </w:rPr>
            <w:t>7.4工艺设计</w:t>
          </w:r>
          <w:r>
            <w:rPr>
              <w:rFonts w:hint="eastAsia" w:ascii="宋体" w:hAnsi="宋体" w:cs="宋体"/>
              <w:sz w:val="24"/>
              <w:szCs w:val="24"/>
            </w:rPr>
            <w:tab/>
          </w:r>
          <w:bookmarkStart w:id="40" w:name="_Toc6216_WPSOffice_Level2Page"/>
          <w:r>
            <w:rPr>
              <w:rFonts w:hint="eastAsia" w:ascii="宋体" w:hAnsi="宋体" w:cs="宋体"/>
              <w:sz w:val="24"/>
              <w:szCs w:val="24"/>
            </w:rPr>
            <w:t>90</w:t>
          </w:r>
          <w:bookmarkEnd w:id="40"/>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"_Toc23711_WPSOffice_Level2" </w:instrText>
          </w:r>
          <w:r>
            <w:fldChar w:fldCharType="separate"/>
          </w:r>
          <w:r>
            <w:rPr>
              <w:rFonts w:hint="eastAsia" w:ascii="宋体" w:hAnsi="宋体" w:cs="宋体"/>
              <w:sz w:val="24"/>
              <w:szCs w:val="24"/>
            </w:rPr>
            <w:t>7.5项目地理位置</w:t>
          </w:r>
          <w:r>
            <w:rPr>
              <w:rFonts w:hint="eastAsia" w:ascii="宋体" w:hAnsi="宋体" w:cs="宋体"/>
              <w:sz w:val="24"/>
              <w:szCs w:val="24"/>
            </w:rPr>
            <w:tab/>
          </w:r>
          <w:bookmarkStart w:id="41" w:name="_Toc23711_WPSOffice_Level2Page"/>
          <w:r>
            <w:rPr>
              <w:rFonts w:hint="eastAsia" w:ascii="宋体" w:hAnsi="宋体" w:cs="宋体"/>
              <w:sz w:val="24"/>
              <w:szCs w:val="24"/>
            </w:rPr>
            <w:t>10</w:t>
          </w:r>
          <w:bookmarkEnd w:id="41"/>
          <w:r>
            <w:rPr>
              <w:rFonts w:hint="eastAsia" w:ascii="宋体" w:hAnsi="宋体" w:cs="宋体"/>
              <w:sz w:val="24"/>
              <w:szCs w:val="24"/>
            </w:rPr>
            <w:fldChar w:fldCharType="end"/>
          </w:r>
          <w:r>
            <w:rPr>
              <w:rFonts w:hint="eastAsia" w:ascii="宋体" w:hAnsi="宋体" w:cs="宋体"/>
              <w:sz w:val="24"/>
              <w:szCs w:val="24"/>
            </w:rPr>
            <w:t>1</w:t>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"_Toc23471_WPSOffice_Level2" </w:instrText>
          </w:r>
          <w:r>
            <w:fldChar w:fldCharType="separate"/>
          </w:r>
          <w:r>
            <w:rPr>
              <w:rFonts w:hint="eastAsia" w:ascii="宋体" w:hAnsi="宋体" w:cs="宋体"/>
              <w:sz w:val="24"/>
              <w:szCs w:val="24"/>
            </w:rPr>
            <w:t>7.6自然、社会环境</w:t>
          </w:r>
          <w:r>
            <w:rPr>
              <w:rFonts w:hint="eastAsia" w:ascii="宋体" w:hAnsi="宋体" w:cs="宋体"/>
              <w:sz w:val="24"/>
              <w:szCs w:val="24"/>
            </w:rPr>
            <w:tab/>
          </w:r>
          <w:bookmarkStart w:id="42" w:name="_Toc23471_WPSOffice_Level2Page"/>
          <w:r>
            <w:rPr>
              <w:rFonts w:hint="eastAsia" w:ascii="宋体" w:hAnsi="宋体" w:cs="宋体"/>
              <w:sz w:val="24"/>
              <w:szCs w:val="24"/>
            </w:rPr>
            <w:t>10</w:t>
          </w:r>
          <w:bookmarkEnd w:id="42"/>
          <w:r>
            <w:rPr>
              <w:rFonts w:hint="eastAsia" w:ascii="宋体" w:hAnsi="宋体" w:cs="宋体"/>
              <w:sz w:val="24"/>
              <w:szCs w:val="24"/>
            </w:rPr>
            <w:t>1</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"_Toc6320_WPSOffice_Level2" </w:instrText>
          </w:r>
          <w:r>
            <w:fldChar w:fldCharType="separate"/>
          </w:r>
          <w:r>
            <w:rPr>
              <w:rFonts w:hint="eastAsia" w:ascii="宋体" w:hAnsi="宋体" w:cs="宋体"/>
              <w:sz w:val="24"/>
              <w:szCs w:val="24"/>
            </w:rPr>
            <w:t>7.7分拣中心土建工程与公用设施</w:t>
          </w:r>
          <w:r>
            <w:rPr>
              <w:rFonts w:hint="eastAsia" w:ascii="宋体" w:hAnsi="宋体" w:cs="宋体"/>
              <w:sz w:val="24"/>
              <w:szCs w:val="24"/>
            </w:rPr>
            <w:tab/>
          </w:r>
          <w:bookmarkStart w:id="43" w:name="_Toc6320_WPSOffice_Level2Page"/>
          <w:r>
            <w:rPr>
              <w:rFonts w:hint="eastAsia" w:ascii="宋体" w:hAnsi="宋体" w:cs="宋体"/>
              <w:sz w:val="24"/>
              <w:szCs w:val="24"/>
            </w:rPr>
            <w:t>10</w:t>
          </w:r>
          <w:bookmarkEnd w:id="43"/>
          <w:r>
            <w:rPr>
              <w:rFonts w:hint="eastAsia" w:ascii="宋体" w:hAnsi="宋体" w:cs="宋体"/>
              <w:sz w:val="24"/>
              <w:szCs w:val="24"/>
            </w:rPr>
            <w:t>2</w:t>
          </w:r>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"_Toc5755_WPSOffice_Level1" </w:instrText>
          </w:r>
          <w:r>
            <w:fldChar w:fldCharType="separate"/>
          </w:r>
          <w:r>
            <w:rPr>
              <w:rFonts w:hint="eastAsia" w:ascii="宋体" w:hAnsi="宋体" w:cs="宋体"/>
              <w:sz w:val="28"/>
              <w:szCs w:val="28"/>
            </w:rPr>
            <w:t>第八章  项目环境保护</w:t>
          </w:r>
          <w:r>
            <w:rPr>
              <w:rFonts w:hint="eastAsia" w:ascii="宋体" w:hAnsi="宋体" w:cs="宋体"/>
              <w:sz w:val="28"/>
              <w:szCs w:val="28"/>
            </w:rPr>
            <w:tab/>
          </w:r>
          <w:bookmarkStart w:id="44" w:name="_Toc5755_WPSOffice_Level1Page"/>
          <w:r>
            <w:rPr>
              <w:rFonts w:hint="eastAsia" w:ascii="宋体" w:hAnsi="宋体" w:cs="宋体"/>
              <w:sz w:val="28"/>
              <w:szCs w:val="28"/>
            </w:rPr>
            <w:t>12</w:t>
          </w:r>
          <w:bookmarkEnd w:id="44"/>
          <w:r>
            <w:rPr>
              <w:rFonts w:hint="eastAsia" w:ascii="宋体" w:hAnsi="宋体" w:cs="宋体"/>
              <w:sz w:val="28"/>
              <w:szCs w:val="28"/>
            </w:rPr>
            <w:t>3</w:t>
          </w:r>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"_Toc6089_WPSOffice_Level2" </w:instrText>
          </w:r>
          <w:r>
            <w:fldChar w:fldCharType="separate"/>
          </w:r>
          <w:r>
            <w:rPr>
              <w:rFonts w:hint="eastAsia" w:ascii="宋体" w:hAnsi="宋体" w:cs="宋体"/>
              <w:sz w:val="24"/>
              <w:szCs w:val="24"/>
            </w:rPr>
            <w:t>8.1 设计依据</w:t>
          </w:r>
          <w:r>
            <w:rPr>
              <w:rFonts w:hint="eastAsia" w:ascii="宋体" w:hAnsi="宋体" w:cs="宋体"/>
              <w:sz w:val="24"/>
              <w:szCs w:val="24"/>
            </w:rPr>
            <w:tab/>
          </w:r>
          <w:bookmarkStart w:id="45" w:name="_Toc6089_WPSOffice_Level2Page"/>
          <w:r>
            <w:rPr>
              <w:rFonts w:hint="eastAsia" w:ascii="宋体" w:hAnsi="宋体" w:cs="宋体"/>
              <w:sz w:val="24"/>
              <w:szCs w:val="24"/>
            </w:rPr>
            <w:t>12</w:t>
          </w:r>
          <w:bookmarkEnd w:id="45"/>
          <w:r>
            <w:rPr>
              <w:rFonts w:hint="eastAsia" w:ascii="宋体" w:hAnsi="宋体" w:cs="宋体"/>
              <w:sz w:val="24"/>
              <w:szCs w:val="24"/>
            </w:rPr>
            <w:t>3</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"_Toc2588_WPSOffice_Level2" </w:instrText>
          </w:r>
          <w:r>
            <w:fldChar w:fldCharType="separate"/>
          </w:r>
          <w:r>
            <w:rPr>
              <w:rFonts w:hint="eastAsia" w:ascii="宋体" w:hAnsi="宋体" w:cs="宋体"/>
              <w:sz w:val="24"/>
              <w:szCs w:val="24"/>
            </w:rPr>
            <w:t>8.2 项目环境影响因素</w:t>
          </w:r>
          <w:r>
            <w:rPr>
              <w:rFonts w:hint="eastAsia" w:ascii="宋体" w:hAnsi="宋体" w:cs="宋体"/>
              <w:sz w:val="24"/>
              <w:szCs w:val="24"/>
            </w:rPr>
            <w:tab/>
          </w:r>
          <w:bookmarkStart w:id="46" w:name="_Toc2588_WPSOffice_Level2Page"/>
          <w:r>
            <w:rPr>
              <w:rFonts w:hint="eastAsia" w:ascii="宋体" w:hAnsi="宋体" w:cs="宋体"/>
              <w:sz w:val="24"/>
              <w:szCs w:val="24"/>
            </w:rPr>
            <w:t>12</w:t>
          </w:r>
          <w:bookmarkEnd w:id="46"/>
          <w:r>
            <w:rPr>
              <w:rFonts w:hint="eastAsia" w:ascii="宋体" w:hAnsi="宋体" w:cs="宋体"/>
              <w:sz w:val="24"/>
              <w:szCs w:val="24"/>
            </w:rPr>
            <w:t>3</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"_Toc28286_WPSOffice_Level2" </w:instrText>
          </w:r>
          <w:r>
            <w:fldChar w:fldCharType="separate"/>
          </w:r>
          <w:r>
            <w:rPr>
              <w:rFonts w:hint="eastAsia" w:ascii="宋体" w:hAnsi="宋体" w:cs="宋体"/>
              <w:sz w:val="24"/>
              <w:szCs w:val="24"/>
            </w:rPr>
            <w:t>8.3 项目环保措施</w:t>
          </w:r>
          <w:r>
            <w:rPr>
              <w:rFonts w:hint="eastAsia" w:ascii="宋体" w:hAnsi="宋体" w:cs="宋体"/>
              <w:sz w:val="24"/>
              <w:szCs w:val="24"/>
            </w:rPr>
            <w:tab/>
          </w:r>
          <w:bookmarkStart w:id="47" w:name="_Toc28286_WPSOffice_Level2Page"/>
          <w:r>
            <w:rPr>
              <w:rFonts w:hint="eastAsia" w:ascii="宋体" w:hAnsi="宋体" w:cs="宋体"/>
              <w:sz w:val="24"/>
              <w:szCs w:val="24"/>
            </w:rPr>
            <w:t>12</w:t>
          </w:r>
          <w:bookmarkEnd w:id="47"/>
          <w:r>
            <w:rPr>
              <w:rFonts w:hint="eastAsia" w:ascii="宋体" w:hAnsi="宋体" w:cs="宋体"/>
              <w:sz w:val="24"/>
              <w:szCs w:val="24"/>
            </w:rPr>
            <w:t>6</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"_Toc12474_WPSOffice_Level2" </w:instrText>
          </w:r>
          <w:r>
            <w:fldChar w:fldCharType="separate"/>
          </w:r>
          <w:r>
            <w:rPr>
              <w:rFonts w:hint="eastAsia" w:ascii="宋体" w:hAnsi="宋体" w:cs="宋体"/>
              <w:sz w:val="24"/>
              <w:szCs w:val="24"/>
            </w:rPr>
            <w:t>8.4环境影响综合评价</w:t>
          </w:r>
          <w:r>
            <w:rPr>
              <w:rFonts w:hint="eastAsia" w:ascii="宋体" w:hAnsi="宋体" w:cs="宋体"/>
              <w:sz w:val="24"/>
              <w:szCs w:val="24"/>
            </w:rPr>
            <w:tab/>
          </w:r>
          <w:bookmarkStart w:id="48" w:name="_Toc12474_WPSOffice_Level2Page"/>
          <w:r>
            <w:rPr>
              <w:rFonts w:hint="eastAsia" w:ascii="宋体" w:hAnsi="宋体" w:cs="宋体"/>
              <w:sz w:val="24"/>
              <w:szCs w:val="24"/>
            </w:rPr>
            <w:t>1</w:t>
          </w:r>
          <w:bookmarkEnd w:id="48"/>
          <w:r>
            <w:rPr>
              <w:rFonts w:hint="eastAsia" w:ascii="宋体" w:hAnsi="宋体" w:cs="宋体"/>
              <w:sz w:val="24"/>
              <w:szCs w:val="24"/>
            </w:rPr>
            <w:t>28</w:t>
          </w:r>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"_Toc29106_WPSOffice_Level1" </w:instrText>
          </w:r>
          <w:r>
            <w:fldChar w:fldCharType="separate"/>
          </w:r>
          <w:r>
            <w:rPr>
              <w:rFonts w:hint="eastAsia" w:ascii="宋体" w:hAnsi="宋体" w:cs="宋体"/>
              <w:sz w:val="28"/>
              <w:szCs w:val="28"/>
            </w:rPr>
            <w:t>第九章  项目组织机构</w:t>
          </w:r>
          <w:r>
            <w:rPr>
              <w:rFonts w:hint="eastAsia" w:ascii="宋体" w:hAnsi="宋体" w:cs="宋体"/>
              <w:sz w:val="28"/>
              <w:szCs w:val="28"/>
            </w:rPr>
            <w:tab/>
          </w:r>
          <w:bookmarkStart w:id="49" w:name="_Toc29106_WPSOffice_Level1Page"/>
          <w:r>
            <w:rPr>
              <w:rFonts w:hint="eastAsia" w:ascii="宋体" w:hAnsi="宋体" w:cs="宋体"/>
              <w:sz w:val="28"/>
              <w:szCs w:val="28"/>
            </w:rPr>
            <w:t>13</w:t>
          </w:r>
          <w:bookmarkEnd w:id="49"/>
          <w:r>
            <w:rPr>
              <w:rFonts w:hint="eastAsia" w:ascii="宋体" w:hAnsi="宋体" w:cs="宋体"/>
              <w:sz w:val="28"/>
              <w:szCs w:val="28"/>
            </w:rPr>
            <w:t>0</w:t>
          </w:r>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"_Toc30604_WPSOffice_Level2" </w:instrText>
          </w:r>
          <w:r>
            <w:fldChar w:fldCharType="separate"/>
          </w:r>
          <w:r>
            <w:rPr>
              <w:rFonts w:hint="eastAsia" w:ascii="宋体" w:hAnsi="宋体" w:cs="宋体"/>
              <w:sz w:val="24"/>
              <w:szCs w:val="24"/>
            </w:rPr>
            <w:t>9.1成立项目协调领导小组</w:t>
          </w:r>
          <w:r>
            <w:rPr>
              <w:rFonts w:hint="eastAsia" w:ascii="宋体" w:hAnsi="宋体" w:cs="宋体"/>
              <w:sz w:val="24"/>
              <w:szCs w:val="24"/>
            </w:rPr>
            <w:tab/>
          </w:r>
          <w:bookmarkStart w:id="50" w:name="_Toc30604_WPSOffice_Level2Page"/>
          <w:r>
            <w:rPr>
              <w:rFonts w:hint="eastAsia" w:ascii="宋体" w:hAnsi="宋体" w:cs="宋体"/>
              <w:sz w:val="24"/>
              <w:szCs w:val="24"/>
            </w:rPr>
            <w:t>13</w:t>
          </w:r>
          <w:bookmarkEnd w:id="50"/>
          <w:r>
            <w:rPr>
              <w:rFonts w:hint="eastAsia" w:ascii="宋体" w:hAnsi="宋体" w:cs="宋体"/>
              <w:sz w:val="24"/>
              <w:szCs w:val="24"/>
            </w:rPr>
            <w:t>0</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"_Toc10100_WPSOffice_Level2" </w:instrText>
          </w:r>
          <w:r>
            <w:fldChar w:fldCharType="separate"/>
          </w:r>
          <w:r>
            <w:rPr>
              <w:rFonts w:hint="eastAsia" w:ascii="宋体" w:hAnsi="宋体" w:cs="宋体"/>
              <w:sz w:val="24"/>
              <w:szCs w:val="24"/>
            </w:rPr>
            <w:t>9.2项目管理</w:t>
          </w:r>
          <w:r>
            <w:rPr>
              <w:rFonts w:hint="eastAsia" w:ascii="宋体" w:hAnsi="宋体" w:cs="宋体"/>
              <w:sz w:val="24"/>
              <w:szCs w:val="24"/>
            </w:rPr>
            <w:tab/>
          </w:r>
          <w:bookmarkStart w:id="51" w:name="_Toc10100_WPSOffice_Level2Page"/>
          <w:r>
            <w:rPr>
              <w:rFonts w:hint="eastAsia" w:ascii="宋体" w:hAnsi="宋体" w:cs="宋体"/>
              <w:sz w:val="24"/>
              <w:szCs w:val="24"/>
            </w:rPr>
            <w:t>13</w:t>
          </w:r>
          <w:bookmarkEnd w:id="51"/>
          <w:r>
            <w:rPr>
              <w:rFonts w:hint="eastAsia" w:ascii="宋体" w:hAnsi="宋体" w:cs="宋体"/>
              <w:sz w:val="24"/>
              <w:szCs w:val="24"/>
            </w:rPr>
            <w:t>0</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"_Toc17366_WPSOffice_Level2" </w:instrText>
          </w:r>
          <w:r>
            <w:fldChar w:fldCharType="separate"/>
          </w:r>
          <w:r>
            <w:rPr>
              <w:rFonts w:hint="eastAsia" w:ascii="宋体" w:hAnsi="宋体" w:cs="宋体"/>
              <w:sz w:val="24"/>
              <w:szCs w:val="24"/>
            </w:rPr>
            <w:t>9.3资金管理</w:t>
          </w:r>
          <w:r>
            <w:rPr>
              <w:rFonts w:hint="eastAsia" w:ascii="宋体" w:hAnsi="宋体" w:cs="宋体"/>
              <w:sz w:val="24"/>
              <w:szCs w:val="24"/>
            </w:rPr>
            <w:tab/>
          </w:r>
          <w:bookmarkStart w:id="52" w:name="_Toc17366_WPSOffice_Level2Page"/>
          <w:r>
            <w:rPr>
              <w:rFonts w:hint="eastAsia" w:ascii="宋体" w:hAnsi="宋体" w:cs="宋体"/>
              <w:sz w:val="24"/>
              <w:szCs w:val="24"/>
            </w:rPr>
            <w:t>13</w:t>
          </w:r>
          <w:bookmarkEnd w:id="52"/>
          <w:r>
            <w:rPr>
              <w:rFonts w:hint="eastAsia" w:ascii="宋体" w:hAnsi="宋体" w:cs="宋体"/>
              <w:sz w:val="24"/>
              <w:szCs w:val="24"/>
            </w:rPr>
            <w:t>1</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"_Toc32465_WPSOffice_Level2" </w:instrText>
          </w:r>
          <w:r>
            <w:fldChar w:fldCharType="separate"/>
          </w:r>
          <w:r>
            <w:rPr>
              <w:rFonts w:hint="eastAsia" w:ascii="宋体" w:hAnsi="宋体" w:cs="宋体"/>
              <w:sz w:val="24"/>
              <w:szCs w:val="24"/>
            </w:rPr>
            <w:t>9.4劳动定员和人员培训</w:t>
          </w:r>
          <w:r>
            <w:rPr>
              <w:rFonts w:hint="eastAsia" w:ascii="宋体" w:hAnsi="宋体" w:cs="宋体"/>
              <w:sz w:val="24"/>
              <w:szCs w:val="24"/>
            </w:rPr>
            <w:tab/>
          </w:r>
          <w:bookmarkStart w:id="53" w:name="_Toc32465_WPSOffice_Level2Page"/>
          <w:r>
            <w:rPr>
              <w:rFonts w:hint="eastAsia" w:ascii="宋体" w:hAnsi="宋体" w:cs="宋体"/>
              <w:sz w:val="24"/>
              <w:szCs w:val="24"/>
            </w:rPr>
            <w:t>13</w:t>
          </w:r>
          <w:bookmarkEnd w:id="53"/>
          <w:r>
            <w:rPr>
              <w:rFonts w:hint="eastAsia" w:ascii="宋体" w:hAnsi="宋体" w:cs="宋体"/>
              <w:sz w:val="24"/>
              <w:szCs w:val="24"/>
            </w:rPr>
            <w:t>1</w:t>
          </w:r>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"_Toc10170_WPSOffice_Level1" </w:instrText>
          </w:r>
          <w:r>
            <w:fldChar w:fldCharType="separate"/>
          </w:r>
          <w:r>
            <w:rPr>
              <w:rFonts w:hint="eastAsia" w:ascii="宋体" w:hAnsi="宋体" w:cs="宋体"/>
              <w:sz w:val="28"/>
              <w:szCs w:val="28"/>
            </w:rPr>
            <w:t>第十章  项目实施进度安排</w:t>
          </w:r>
          <w:r>
            <w:rPr>
              <w:rFonts w:hint="eastAsia" w:ascii="宋体" w:hAnsi="宋体" w:cs="宋体"/>
              <w:sz w:val="28"/>
              <w:szCs w:val="28"/>
            </w:rPr>
            <w:tab/>
          </w:r>
          <w:bookmarkStart w:id="54" w:name="_Toc10170_WPSOffice_Level1Page"/>
          <w:r>
            <w:rPr>
              <w:rFonts w:hint="eastAsia" w:ascii="宋体" w:hAnsi="宋体" w:cs="宋体"/>
              <w:sz w:val="28"/>
              <w:szCs w:val="28"/>
            </w:rPr>
            <w:t>13</w:t>
          </w:r>
          <w:bookmarkEnd w:id="54"/>
          <w:r>
            <w:rPr>
              <w:rFonts w:hint="eastAsia" w:ascii="宋体" w:hAnsi="宋体" w:cs="宋体"/>
              <w:sz w:val="28"/>
              <w:szCs w:val="28"/>
            </w:rPr>
            <w:t>3</w:t>
          </w:r>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"_Toc8236_WPSOffice_Level2" </w:instrText>
          </w:r>
          <w:r>
            <w:fldChar w:fldCharType="separate"/>
          </w:r>
          <w:r>
            <w:rPr>
              <w:rFonts w:hint="eastAsia" w:ascii="宋体" w:hAnsi="宋体" w:cs="宋体"/>
              <w:sz w:val="24"/>
              <w:szCs w:val="24"/>
            </w:rPr>
            <w:t>10.1 项目实施进度安排</w:t>
          </w:r>
          <w:r>
            <w:rPr>
              <w:rFonts w:hint="eastAsia" w:ascii="宋体" w:hAnsi="宋体" w:cs="宋体"/>
              <w:sz w:val="24"/>
              <w:szCs w:val="24"/>
            </w:rPr>
            <w:tab/>
          </w:r>
          <w:bookmarkStart w:id="55" w:name="_Toc8236_WPSOffice_Level2Page"/>
          <w:r>
            <w:rPr>
              <w:rFonts w:hint="eastAsia" w:ascii="宋体" w:hAnsi="宋体" w:cs="宋体"/>
              <w:sz w:val="24"/>
              <w:szCs w:val="24"/>
            </w:rPr>
            <w:t>13</w:t>
          </w:r>
          <w:bookmarkEnd w:id="55"/>
          <w:r>
            <w:rPr>
              <w:rFonts w:hint="eastAsia" w:ascii="宋体" w:hAnsi="宋体" w:cs="宋体"/>
              <w:sz w:val="24"/>
              <w:szCs w:val="24"/>
            </w:rPr>
            <w:t>3</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"_Toc32035_WPSOffice_Level2" </w:instrText>
          </w:r>
          <w:r>
            <w:fldChar w:fldCharType="separate"/>
          </w:r>
          <w:r>
            <w:rPr>
              <w:rFonts w:hint="eastAsia" w:ascii="宋体" w:hAnsi="宋体" w:cs="宋体"/>
              <w:sz w:val="24"/>
              <w:szCs w:val="24"/>
            </w:rPr>
            <w:t>10.2 项目实施进度表</w:t>
          </w:r>
          <w:r>
            <w:rPr>
              <w:rFonts w:hint="eastAsia" w:ascii="宋体" w:hAnsi="宋体" w:cs="宋体"/>
              <w:sz w:val="24"/>
              <w:szCs w:val="24"/>
            </w:rPr>
            <w:tab/>
          </w:r>
          <w:bookmarkStart w:id="56" w:name="_Toc32035_WPSOffice_Level2Page"/>
          <w:r>
            <w:rPr>
              <w:rFonts w:hint="eastAsia" w:ascii="宋体" w:hAnsi="宋体" w:cs="宋体"/>
              <w:sz w:val="24"/>
              <w:szCs w:val="24"/>
            </w:rPr>
            <w:t>13</w:t>
          </w:r>
          <w:bookmarkEnd w:id="56"/>
          <w:r>
            <w:rPr>
              <w:rFonts w:hint="eastAsia" w:ascii="宋体" w:hAnsi="宋体" w:cs="宋体"/>
              <w:sz w:val="24"/>
              <w:szCs w:val="24"/>
            </w:rPr>
            <w:t>3</w:t>
          </w:r>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"_Toc25606_WPSOffice_Level1" </w:instrText>
          </w:r>
          <w:r>
            <w:fldChar w:fldCharType="separate"/>
          </w:r>
          <w:r>
            <w:rPr>
              <w:rFonts w:hint="eastAsia" w:ascii="宋体" w:hAnsi="宋体" w:cs="宋体"/>
              <w:sz w:val="28"/>
              <w:szCs w:val="28"/>
            </w:rPr>
            <w:t>第十一章  项目招投标</w:t>
          </w:r>
          <w:r>
            <w:rPr>
              <w:rFonts w:hint="eastAsia" w:ascii="宋体" w:hAnsi="宋体" w:cs="宋体"/>
              <w:sz w:val="28"/>
              <w:szCs w:val="28"/>
            </w:rPr>
            <w:tab/>
          </w:r>
          <w:bookmarkStart w:id="57" w:name="_Toc25606_WPSOffice_Level1Page"/>
          <w:r>
            <w:rPr>
              <w:rFonts w:hint="eastAsia" w:ascii="宋体" w:hAnsi="宋体" w:cs="宋体"/>
              <w:sz w:val="28"/>
              <w:szCs w:val="28"/>
            </w:rPr>
            <w:t>13</w:t>
          </w:r>
          <w:bookmarkEnd w:id="57"/>
          <w:r>
            <w:rPr>
              <w:rFonts w:hint="eastAsia" w:ascii="宋体" w:hAnsi="宋体" w:cs="宋体"/>
              <w:sz w:val="28"/>
              <w:szCs w:val="28"/>
            </w:rPr>
            <w:t>4</w:t>
          </w:r>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"_Toc30952_WPSOffice_Level2" </w:instrText>
          </w:r>
          <w:r>
            <w:fldChar w:fldCharType="separate"/>
          </w:r>
          <w:r>
            <w:rPr>
              <w:rFonts w:hint="eastAsia" w:ascii="宋体" w:hAnsi="宋体" w:cs="宋体"/>
              <w:sz w:val="24"/>
              <w:szCs w:val="24"/>
            </w:rPr>
            <w:t>11.1 项目招标目的</w:t>
          </w:r>
          <w:r>
            <w:rPr>
              <w:rFonts w:hint="eastAsia" w:ascii="宋体" w:hAnsi="宋体" w:cs="宋体"/>
              <w:sz w:val="24"/>
              <w:szCs w:val="24"/>
            </w:rPr>
            <w:tab/>
          </w:r>
          <w:bookmarkStart w:id="58" w:name="_Toc30952_WPSOffice_Level2Page"/>
          <w:r>
            <w:rPr>
              <w:rFonts w:hint="eastAsia" w:ascii="宋体" w:hAnsi="宋体" w:cs="宋体"/>
              <w:sz w:val="24"/>
              <w:szCs w:val="24"/>
            </w:rPr>
            <w:t>13</w:t>
          </w:r>
          <w:bookmarkEnd w:id="58"/>
          <w:r>
            <w:rPr>
              <w:rFonts w:hint="eastAsia" w:ascii="宋体" w:hAnsi="宋体" w:cs="宋体"/>
              <w:sz w:val="24"/>
              <w:szCs w:val="24"/>
            </w:rPr>
            <w:t>4</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"_Toc12641_WPSOffice_Level2" </w:instrText>
          </w:r>
          <w:r>
            <w:fldChar w:fldCharType="separate"/>
          </w:r>
          <w:r>
            <w:rPr>
              <w:rFonts w:hint="eastAsia" w:ascii="宋体" w:hAnsi="宋体" w:cs="宋体"/>
              <w:sz w:val="24"/>
              <w:szCs w:val="24"/>
            </w:rPr>
            <w:t>11.2 招标原则及招投标方案</w:t>
          </w:r>
          <w:r>
            <w:rPr>
              <w:rFonts w:hint="eastAsia" w:ascii="宋体" w:hAnsi="宋体" w:cs="宋体"/>
              <w:sz w:val="24"/>
              <w:szCs w:val="24"/>
            </w:rPr>
            <w:tab/>
          </w:r>
          <w:bookmarkStart w:id="59" w:name="_Toc12641_WPSOffice_Level2Page"/>
          <w:r>
            <w:rPr>
              <w:rFonts w:hint="eastAsia" w:ascii="宋体" w:hAnsi="宋体" w:cs="宋体"/>
              <w:sz w:val="24"/>
              <w:szCs w:val="24"/>
            </w:rPr>
            <w:t>13</w:t>
          </w:r>
          <w:bookmarkEnd w:id="59"/>
          <w:r>
            <w:rPr>
              <w:rFonts w:hint="eastAsia" w:ascii="宋体" w:hAnsi="宋体" w:cs="宋体"/>
              <w:sz w:val="24"/>
              <w:szCs w:val="24"/>
            </w:rPr>
            <w:t>6</w:t>
          </w:r>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"_Toc13222_WPSOffice_Level1" </w:instrText>
          </w:r>
          <w:r>
            <w:fldChar w:fldCharType="separate"/>
          </w:r>
          <w:r>
            <w:rPr>
              <w:rFonts w:hint="eastAsia" w:ascii="宋体" w:hAnsi="宋体" w:cs="宋体"/>
              <w:sz w:val="28"/>
              <w:szCs w:val="28"/>
            </w:rPr>
            <w:t>第十二章  投资估算、收益估算及资金筹措</w:t>
          </w:r>
          <w:r>
            <w:rPr>
              <w:rFonts w:hint="eastAsia" w:ascii="宋体" w:hAnsi="宋体" w:cs="宋体"/>
              <w:sz w:val="28"/>
              <w:szCs w:val="28"/>
            </w:rPr>
            <w:tab/>
          </w:r>
          <w:bookmarkStart w:id="60" w:name="_Toc13222_WPSOffice_Level1Page"/>
          <w:r>
            <w:rPr>
              <w:rFonts w:hint="eastAsia" w:ascii="宋体" w:hAnsi="宋体" w:cs="宋体"/>
              <w:sz w:val="28"/>
              <w:szCs w:val="28"/>
            </w:rPr>
            <w:t>14</w:t>
          </w:r>
          <w:bookmarkEnd w:id="60"/>
          <w:r>
            <w:rPr>
              <w:rFonts w:hint="eastAsia" w:ascii="宋体" w:hAnsi="宋体" w:cs="宋体"/>
              <w:sz w:val="28"/>
              <w:szCs w:val="28"/>
            </w:rPr>
            <w:t>1</w:t>
          </w:r>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sectPr>
              <w:footerReference r:id="rId5" w:type="default"/>
              <w:pgSz w:w="11906" w:h="16838"/>
              <w:pgMar w:top="1440" w:right="1800" w:bottom="1440" w:left="1800" w:header="1134" w:footer="992" w:gutter="0"/>
              <w:pgNumType w:start="1"/>
              <w:cols w:space="425" w:num="1"/>
              <w:docGrid w:type="lines" w:linePitch="312" w:charSpace="0"/>
            </w:sectPr>
          </w:pP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"_Toc20106_WPSOffice_Level2" </w:instrText>
          </w:r>
          <w:r>
            <w:fldChar w:fldCharType="separate"/>
          </w:r>
          <w:r>
            <w:rPr>
              <w:rFonts w:hint="eastAsia" w:ascii="宋体" w:hAnsi="宋体" w:cs="宋体"/>
              <w:sz w:val="24"/>
              <w:szCs w:val="24"/>
            </w:rPr>
            <w:t>12.1 编制依据</w:t>
          </w:r>
          <w:r>
            <w:rPr>
              <w:rFonts w:hint="eastAsia" w:ascii="宋体" w:hAnsi="宋体" w:cs="宋体"/>
              <w:sz w:val="24"/>
              <w:szCs w:val="24"/>
            </w:rPr>
            <w:tab/>
          </w:r>
          <w:bookmarkStart w:id="61" w:name="_Toc20106_WPSOffice_Level2Page"/>
          <w:r>
            <w:rPr>
              <w:rFonts w:hint="eastAsia" w:ascii="宋体" w:hAnsi="宋体" w:cs="宋体"/>
              <w:sz w:val="24"/>
              <w:szCs w:val="24"/>
            </w:rPr>
            <w:t>14</w:t>
          </w:r>
          <w:bookmarkEnd w:id="61"/>
          <w:r>
            <w:rPr>
              <w:rFonts w:hint="eastAsia" w:ascii="宋体" w:hAnsi="宋体" w:cs="宋体"/>
              <w:sz w:val="24"/>
              <w:szCs w:val="24"/>
            </w:rPr>
            <w:t>1</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"_Toc18478_WPSOffice_Level2" </w:instrText>
          </w:r>
          <w:r>
            <w:fldChar w:fldCharType="separate"/>
          </w:r>
          <w:r>
            <w:rPr>
              <w:rFonts w:hint="eastAsia" w:ascii="宋体" w:hAnsi="宋体" w:cs="宋体"/>
              <w:sz w:val="24"/>
              <w:szCs w:val="24"/>
            </w:rPr>
            <w:t>12.2 其他费用及预备费说明</w:t>
          </w:r>
          <w:r>
            <w:rPr>
              <w:rFonts w:hint="eastAsia" w:ascii="宋体" w:hAnsi="宋体" w:cs="宋体"/>
              <w:sz w:val="24"/>
              <w:szCs w:val="24"/>
            </w:rPr>
            <w:tab/>
          </w:r>
          <w:bookmarkStart w:id="62" w:name="_Toc18478_WPSOffice_Level2Page"/>
          <w:r>
            <w:rPr>
              <w:rFonts w:hint="eastAsia" w:ascii="宋体" w:hAnsi="宋体" w:cs="宋体"/>
              <w:sz w:val="24"/>
              <w:szCs w:val="24"/>
            </w:rPr>
            <w:t>14</w:t>
          </w:r>
          <w:bookmarkEnd w:id="62"/>
          <w:r>
            <w:rPr>
              <w:rFonts w:hint="eastAsia" w:ascii="宋体" w:hAnsi="宋体" w:cs="宋体"/>
              <w:sz w:val="24"/>
              <w:szCs w:val="24"/>
            </w:rPr>
            <w:t>2</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"_Toc11824_WPSOffice_Level2" </w:instrText>
          </w:r>
          <w:r>
            <w:fldChar w:fldCharType="separate"/>
          </w:r>
          <w:r>
            <w:rPr>
              <w:rFonts w:hint="eastAsia" w:ascii="宋体" w:hAnsi="宋体" w:cs="宋体"/>
              <w:sz w:val="24"/>
              <w:szCs w:val="24"/>
            </w:rPr>
            <w:t>12.3 项目投资估算</w:t>
          </w:r>
          <w:r>
            <w:rPr>
              <w:rFonts w:hint="eastAsia" w:ascii="宋体" w:hAnsi="宋体" w:cs="宋体"/>
              <w:sz w:val="24"/>
              <w:szCs w:val="24"/>
            </w:rPr>
            <w:tab/>
          </w:r>
          <w:bookmarkStart w:id="63" w:name="_Toc11824_WPSOffice_Level2Page"/>
          <w:r>
            <w:rPr>
              <w:rFonts w:hint="eastAsia" w:ascii="宋体" w:hAnsi="宋体" w:cs="宋体"/>
              <w:sz w:val="24"/>
              <w:szCs w:val="24"/>
            </w:rPr>
            <w:t>14</w:t>
          </w:r>
          <w:bookmarkEnd w:id="63"/>
          <w:r>
            <w:rPr>
              <w:rFonts w:hint="eastAsia" w:ascii="宋体" w:hAnsi="宋体" w:cs="宋体"/>
              <w:sz w:val="24"/>
              <w:szCs w:val="24"/>
            </w:rPr>
            <w:t>2</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"_Toc8524_WPSOffice_Level2" </w:instrText>
          </w:r>
          <w:r>
            <w:fldChar w:fldCharType="separate"/>
          </w:r>
          <w:r>
            <w:rPr>
              <w:rFonts w:hint="eastAsia" w:ascii="宋体" w:hAnsi="宋体" w:cs="宋体"/>
              <w:sz w:val="24"/>
              <w:szCs w:val="24"/>
            </w:rPr>
            <w:t>12.4收费估算</w:t>
          </w:r>
          <w:r>
            <w:rPr>
              <w:rFonts w:hint="eastAsia" w:ascii="宋体" w:hAnsi="宋体" w:cs="宋体"/>
              <w:sz w:val="24"/>
              <w:szCs w:val="24"/>
            </w:rPr>
            <w:tab/>
          </w:r>
          <w:bookmarkStart w:id="64" w:name="_Toc8524_WPSOffice_Level2Page"/>
          <w:r>
            <w:rPr>
              <w:rFonts w:hint="eastAsia" w:ascii="宋体" w:hAnsi="宋体" w:cs="宋体"/>
              <w:sz w:val="24"/>
              <w:szCs w:val="24"/>
            </w:rPr>
            <w:t>14</w:t>
          </w:r>
          <w:bookmarkEnd w:id="64"/>
          <w:r>
            <w:rPr>
              <w:rFonts w:hint="eastAsia" w:ascii="宋体" w:hAnsi="宋体" w:cs="宋体"/>
              <w:sz w:val="24"/>
              <w:szCs w:val="24"/>
            </w:rPr>
            <w:t>3</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"_Toc16060_WPSOffice_Level2" </w:instrText>
          </w:r>
          <w:r>
            <w:fldChar w:fldCharType="separate"/>
          </w:r>
          <w:r>
            <w:rPr>
              <w:rFonts w:hint="eastAsia" w:ascii="宋体" w:hAnsi="宋体" w:cs="宋体"/>
              <w:sz w:val="24"/>
              <w:szCs w:val="24"/>
            </w:rPr>
            <w:t>12.5 资金筹措</w:t>
          </w:r>
          <w:r>
            <w:rPr>
              <w:rFonts w:hint="eastAsia" w:ascii="宋体" w:hAnsi="宋体" w:cs="宋体"/>
              <w:sz w:val="24"/>
              <w:szCs w:val="24"/>
            </w:rPr>
            <w:tab/>
          </w:r>
          <w:bookmarkStart w:id="65" w:name="_Toc16060_WPSOffice_Level2Page"/>
          <w:r>
            <w:rPr>
              <w:rFonts w:hint="eastAsia" w:ascii="宋体" w:hAnsi="宋体" w:cs="宋体"/>
              <w:sz w:val="24"/>
              <w:szCs w:val="24"/>
            </w:rPr>
            <w:t>15</w:t>
          </w:r>
          <w:bookmarkEnd w:id="65"/>
          <w:r>
            <w:rPr>
              <w:rFonts w:hint="eastAsia" w:ascii="宋体" w:hAnsi="宋体" w:cs="宋体"/>
              <w:sz w:val="24"/>
              <w:szCs w:val="24"/>
            </w:rPr>
            <w:t>5</w:t>
          </w:r>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"_Toc6188_WPSOffice_Level1" </w:instrText>
          </w:r>
          <w:r>
            <w:fldChar w:fldCharType="separate"/>
          </w:r>
          <w:r>
            <w:rPr>
              <w:rFonts w:hint="eastAsia" w:ascii="宋体" w:hAnsi="宋体" w:cs="宋体"/>
              <w:sz w:val="28"/>
              <w:szCs w:val="28"/>
            </w:rPr>
            <w:t>第十三章  经济效益和社会效益分析</w:t>
          </w:r>
          <w:r>
            <w:rPr>
              <w:rFonts w:hint="eastAsia" w:ascii="宋体" w:hAnsi="宋体" w:cs="宋体"/>
              <w:sz w:val="28"/>
              <w:szCs w:val="28"/>
            </w:rPr>
            <w:tab/>
          </w:r>
          <w:bookmarkStart w:id="66" w:name="_Toc6188_WPSOffice_Level1Page"/>
          <w:r>
            <w:rPr>
              <w:rFonts w:hint="eastAsia" w:ascii="宋体" w:hAnsi="宋体" w:cs="宋体"/>
              <w:sz w:val="28"/>
              <w:szCs w:val="28"/>
            </w:rPr>
            <w:t>15</w:t>
          </w:r>
          <w:bookmarkEnd w:id="66"/>
          <w:r>
            <w:rPr>
              <w:rFonts w:hint="eastAsia" w:ascii="宋体" w:hAnsi="宋体" w:cs="宋体"/>
              <w:sz w:val="28"/>
              <w:szCs w:val="28"/>
            </w:rPr>
            <w:t>6</w:t>
          </w:r>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"_Toc3983_WPSOffice_Level2" </w:instrText>
          </w:r>
          <w:r>
            <w:fldChar w:fldCharType="separate"/>
          </w:r>
          <w:r>
            <w:rPr>
              <w:rFonts w:hint="eastAsia" w:ascii="宋体" w:hAnsi="宋体" w:cs="宋体"/>
              <w:sz w:val="24"/>
              <w:szCs w:val="24"/>
            </w:rPr>
            <w:t>13.1项目的经济效益</w:t>
          </w:r>
          <w:r>
            <w:rPr>
              <w:rFonts w:hint="eastAsia" w:ascii="宋体" w:hAnsi="宋体" w:cs="宋体"/>
              <w:sz w:val="24"/>
              <w:szCs w:val="24"/>
            </w:rPr>
            <w:tab/>
          </w:r>
          <w:bookmarkStart w:id="67" w:name="_Toc3983_WPSOffice_Level2Page"/>
          <w:r>
            <w:rPr>
              <w:rFonts w:hint="eastAsia" w:ascii="宋体" w:hAnsi="宋体" w:cs="宋体"/>
              <w:sz w:val="24"/>
              <w:szCs w:val="24"/>
            </w:rPr>
            <w:t>15</w:t>
          </w:r>
          <w:bookmarkEnd w:id="67"/>
          <w:r>
            <w:rPr>
              <w:rFonts w:hint="eastAsia" w:ascii="宋体" w:hAnsi="宋体" w:cs="宋体"/>
              <w:sz w:val="24"/>
              <w:szCs w:val="24"/>
            </w:rPr>
            <w:t>6</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"_Toc14687_WPSOffice_Level2" </w:instrText>
          </w:r>
          <w:r>
            <w:fldChar w:fldCharType="separate"/>
          </w:r>
          <w:r>
            <w:rPr>
              <w:rFonts w:hint="eastAsia" w:ascii="宋体" w:hAnsi="宋体" w:cs="宋体"/>
              <w:sz w:val="24"/>
              <w:szCs w:val="24"/>
            </w:rPr>
            <w:t>13.2 项目的社会效益</w:t>
          </w:r>
          <w:r>
            <w:rPr>
              <w:rFonts w:hint="eastAsia" w:ascii="宋体" w:hAnsi="宋体" w:cs="宋体"/>
              <w:sz w:val="24"/>
              <w:szCs w:val="24"/>
            </w:rPr>
            <w:tab/>
          </w:r>
          <w:bookmarkStart w:id="68" w:name="_Toc14687_WPSOffice_Level2Page"/>
          <w:r>
            <w:rPr>
              <w:rFonts w:hint="eastAsia" w:ascii="宋体" w:hAnsi="宋体" w:cs="宋体"/>
              <w:sz w:val="24"/>
              <w:szCs w:val="24"/>
            </w:rPr>
            <w:t>15</w:t>
          </w:r>
          <w:bookmarkEnd w:id="68"/>
          <w:r>
            <w:rPr>
              <w:rFonts w:hint="eastAsia" w:ascii="宋体" w:hAnsi="宋体" w:cs="宋体"/>
              <w:sz w:val="24"/>
              <w:szCs w:val="24"/>
            </w:rPr>
            <w:t>7</w:t>
          </w:r>
          <w:r>
            <w:rPr>
              <w:rFonts w:hint="eastAsia" w:ascii="宋体" w:hAnsi="宋体" w:cs="宋体"/>
              <w:sz w:val="24"/>
              <w:szCs w:val="24"/>
            </w:rPr>
            <w:fldChar w:fldCharType="end"/>
          </w:r>
        </w:p>
        <w:p>
          <w:pPr>
            <w:pStyle w:val="27"/>
            <w:tabs>
              <w:tab w:val="right" w:leader="dot" w:pos="8306"/>
            </w:tabs>
            <w:rPr>
              <w:rFonts w:ascii="宋体" w:hAnsi="宋体" w:cs="宋体"/>
              <w:sz w:val="28"/>
              <w:szCs w:val="28"/>
            </w:rPr>
          </w:pPr>
          <w:r>
            <w:fldChar w:fldCharType="begin"/>
          </w:r>
          <w:r>
            <w:instrText xml:space="preserve"> HYPERLINK \l "_Toc3480_WPSOffice_Level1" </w:instrText>
          </w:r>
          <w:r>
            <w:fldChar w:fldCharType="separate"/>
          </w:r>
          <w:r>
            <w:rPr>
              <w:rFonts w:hint="eastAsia" w:ascii="宋体" w:hAnsi="宋体" w:cs="宋体"/>
              <w:sz w:val="28"/>
              <w:szCs w:val="28"/>
            </w:rPr>
            <w:t>第十四章  可行性研究结论与建议</w:t>
          </w:r>
          <w:r>
            <w:rPr>
              <w:rFonts w:hint="eastAsia" w:ascii="宋体" w:hAnsi="宋体" w:cs="宋体"/>
              <w:sz w:val="28"/>
              <w:szCs w:val="28"/>
            </w:rPr>
            <w:tab/>
          </w:r>
          <w:bookmarkStart w:id="69" w:name="_Toc3480_WPSOffice_Level1Page"/>
          <w:r>
            <w:rPr>
              <w:rFonts w:hint="eastAsia" w:ascii="宋体" w:hAnsi="宋体" w:cs="宋体"/>
              <w:sz w:val="28"/>
              <w:szCs w:val="28"/>
            </w:rPr>
            <w:t>1</w:t>
          </w:r>
          <w:bookmarkEnd w:id="69"/>
          <w:r>
            <w:rPr>
              <w:rFonts w:hint="eastAsia" w:ascii="宋体" w:hAnsi="宋体" w:cs="宋体"/>
              <w:sz w:val="28"/>
              <w:szCs w:val="28"/>
            </w:rPr>
            <w:t>59</w:t>
          </w:r>
          <w:r>
            <w:rPr>
              <w:rFonts w:hint="eastAsia" w:ascii="宋体" w:hAnsi="宋体" w:cs="宋体"/>
              <w:sz w:val="28"/>
              <w:szCs w:val="28"/>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"_Toc24579_WPSOffice_Level2" </w:instrText>
          </w:r>
          <w:r>
            <w:fldChar w:fldCharType="separate"/>
          </w:r>
          <w:r>
            <w:rPr>
              <w:rFonts w:hint="eastAsia" w:ascii="宋体" w:hAnsi="宋体" w:cs="宋体"/>
              <w:sz w:val="24"/>
              <w:szCs w:val="24"/>
            </w:rPr>
            <w:t>14.1 结论</w:t>
          </w:r>
          <w:r>
            <w:rPr>
              <w:rFonts w:hint="eastAsia" w:ascii="宋体" w:hAnsi="宋体" w:cs="宋体"/>
              <w:sz w:val="24"/>
              <w:szCs w:val="24"/>
            </w:rPr>
            <w:tab/>
          </w:r>
          <w:bookmarkStart w:id="70" w:name="_Toc24579_WPSOffice_Level2Page"/>
          <w:r>
            <w:rPr>
              <w:rFonts w:hint="eastAsia" w:ascii="宋体" w:hAnsi="宋体" w:cs="宋体"/>
              <w:sz w:val="24"/>
              <w:szCs w:val="24"/>
            </w:rPr>
            <w:t>1</w:t>
          </w:r>
          <w:bookmarkEnd w:id="70"/>
          <w:r>
            <w:rPr>
              <w:rFonts w:hint="eastAsia" w:ascii="宋体" w:hAnsi="宋体" w:cs="宋体"/>
              <w:sz w:val="24"/>
              <w:szCs w:val="24"/>
            </w:rPr>
            <w:t>59</w:t>
          </w:r>
          <w:r>
            <w:rPr>
              <w:rFonts w:hint="eastAsia" w:ascii="宋体" w:hAnsi="宋体" w:cs="宋体"/>
              <w:sz w:val="24"/>
              <w:szCs w:val="24"/>
            </w:rPr>
            <w:fldChar w:fldCharType="end"/>
          </w:r>
        </w:p>
        <w:p>
          <w:pPr>
            <w:pStyle w:val="28"/>
            <w:tabs>
              <w:tab w:val="right" w:leader="dot" w:pos="8306"/>
            </w:tabs>
            <w:spacing w:line="400" w:lineRule="exact"/>
            <w:ind w:left="420"/>
            <w:rPr>
              <w:rFonts w:ascii="宋体" w:hAnsi="宋体" w:cs="宋体"/>
              <w:sz w:val="24"/>
              <w:szCs w:val="24"/>
            </w:rPr>
          </w:pPr>
          <w:r>
            <w:fldChar w:fldCharType="begin"/>
          </w:r>
          <w:r>
            <w:instrText xml:space="preserve"> HYPERLINK \l "_Toc21773_WPSOffice_Level2" </w:instrText>
          </w:r>
          <w:r>
            <w:fldChar w:fldCharType="separate"/>
          </w:r>
          <w:r>
            <w:rPr>
              <w:rFonts w:hint="eastAsia" w:ascii="宋体" w:hAnsi="宋体" w:cs="宋体"/>
              <w:sz w:val="24"/>
              <w:szCs w:val="24"/>
            </w:rPr>
            <w:t>14.2 建议</w:t>
          </w:r>
          <w:r>
            <w:rPr>
              <w:rFonts w:hint="eastAsia" w:ascii="宋体" w:hAnsi="宋体" w:cs="宋体"/>
              <w:sz w:val="24"/>
              <w:szCs w:val="24"/>
            </w:rPr>
            <w:tab/>
          </w:r>
          <w:bookmarkStart w:id="71" w:name="_Toc21773_WPSOffice_Level2Page"/>
          <w:r>
            <w:rPr>
              <w:rFonts w:hint="eastAsia" w:ascii="宋体" w:hAnsi="宋体" w:cs="宋体"/>
              <w:sz w:val="24"/>
              <w:szCs w:val="24"/>
            </w:rPr>
            <w:t>16</w:t>
          </w:r>
          <w:bookmarkEnd w:id="71"/>
          <w:r>
            <w:rPr>
              <w:rFonts w:hint="eastAsia" w:ascii="宋体" w:hAnsi="宋体" w:cs="宋体"/>
              <w:sz w:val="24"/>
              <w:szCs w:val="24"/>
            </w:rPr>
            <w:t>0</w:t>
          </w:r>
          <w:r>
            <w:rPr>
              <w:rFonts w:hint="eastAsia" w:ascii="宋体" w:hAnsi="宋体" w:cs="宋体"/>
              <w:sz w:val="24"/>
              <w:szCs w:val="24"/>
            </w:rPr>
            <w:fldChar w:fldCharType="end"/>
          </w:r>
        </w:p>
        <w:bookmarkEnd w:id="0"/>
        <w:p>
          <w:pPr>
            <w:pStyle w:val="27"/>
            <w:tabs>
              <w:tab w:val="right" w:leader="dot" w:pos="8306"/>
            </w:tabs>
            <w:ind w:left="420" w:leftChars="200"/>
            <w:rPr>
              <w:rFonts w:ascii="宋体" w:hAnsi="宋体" w:cs="宋体"/>
              <w:sz w:val="28"/>
              <w:szCs w:val="28"/>
            </w:rPr>
          </w:pPr>
        </w:p>
        <w:p>
          <w:pPr>
            <w:pStyle w:val="27"/>
            <w:tabs>
              <w:tab w:val="right" w:leader="dot" w:pos="8306"/>
            </w:tabs>
            <w:ind w:left="420" w:leftChars="200"/>
            <w:rPr>
              <w:rFonts w:ascii="宋体" w:hAnsi="宋体" w:cs="宋体"/>
              <w:sz w:val="28"/>
              <w:szCs w:val="28"/>
            </w:rPr>
          </w:pPr>
          <w:r>
            <w:rPr>
              <w:rFonts w:hint="eastAsia" w:ascii="宋体" w:hAnsi="宋体" w:cs="宋体"/>
              <w:sz w:val="28"/>
              <w:szCs w:val="28"/>
            </w:rPr>
            <w:t>附件：</w:t>
          </w:r>
        </w:p>
        <w:p>
          <w:pPr>
            <w:pStyle w:val="28"/>
            <w:tabs>
              <w:tab w:val="right" w:leader="dot" w:pos="8306"/>
            </w:tabs>
            <w:spacing w:line="400" w:lineRule="exact"/>
            <w:ind w:left="420"/>
            <w:rPr>
              <w:rFonts w:ascii="宋体" w:hAnsi="宋体" w:cs="宋体"/>
              <w:sz w:val="24"/>
              <w:szCs w:val="24"/>
            </w:rPr>
          </w:pPr>
          <w:r>
            <w:rPr>
              <w:rFonts w:hint="eastAsia" w:ascii="宋体" w:hAnsi="宋体" w:cs="宋体"/>
              <w:sz w:val="24"/>
              <w:szCs w:val="24"/>
            </w:rPr>
            <w:t>1.分拣中心区域位置图</w:t>
          </w:r>
        </w:p>
        <w:p>
          <w:pPr>
            <w:pStyle w:val="28"/>
            <w:tabs>
              <w:tab w:val="right" w:leader="dot" w:pos="8306"/>
            </w:tabs>
            <w:spacing w:line="400" w:lineRule="exact"/>
            <w:ind w:left="420"/>
            <w:rPr>
              <w:rFonts w:ascii="宋体" w:hAnsi="宋体" w:cs="宋体"/>
              <w:sz w:val="24"/>
              <w:szCs w:val="24"/>
            </w:rPr>
          </w:pPr>
          <w:r>
            <w:rPr>
              <w:rFonts w:hint="eastAsia" w:ascii="宋体" w:hAnsi="宋体" w:cs="宋体"/>
              <w:sz w:val="24"/>
              <w:szCs w:val="24"/>
            </w:rPr>
            <w:t>2.分拣中心选址示意图</w:t>
          </w:r>
        </w:p>
        <w:p>
          <w:pPr>
            <w:pStyle w:val="28"/>
            <w:tabs>
              <w:tab w:val="right" w:leader="dot" w:pos="8306"/>
            </w:tabs>
            <w:spacing w:line="400" w:lineRule="exact"/>
            <w:ind w:left="420"/>
            <w:rPr>
              <w:rFonts w:ascii="宋体" w:hAnsi="宋体" w:cs="宋体"/>
              <w:sz w:val="24"/>
              <w:szCs w:val="24"/>
            </w:rPr>
          </w:pPr>
          <w:r>
            <w:rPr>
              <w:rFonts w:hint="eastAsia" w:ascii="宋体" w:hAnsi="宋体" w:cs="宋体"/>
              <w:sz w:val="24"/>
              <w:szCs w:val="24"/>
            </w:rPr>
            <w:t>3.分拣中心总平面布置图</w:t>
          </w:r>
        </w:p>
        <w:p>
          <w:pPr>
            <w:pStyle w:val="28"/>
            <w:tabs>
              <w:tab w:val="right" w:leader="dot" w:pos="8306"/>
            </w:tabs>
            <w:spacing w:line="400" w:lineRule="exact"/>
            <w:ind w:left="420"/>
            <w:rPr>
              <w:rFonts w:ascii="宋体" w:hAnsi="宋体" w:cs="宋体"/>
              <w:sz w:val="24"/>
              <w:szCs w:val="24"/>
            </w:rPr>
          </w:pPr>
          <w:r>
            <w:rPr>
              <w:rFonts w:hint="eastAsia" w:ascii="宋体" w:hAnsi="宋体" w:cs="宋体"/>
              <w:sz w:val="24"/>
              <w:szCs w:val="24"/>
            </w:rPr>
            <w:t>4.嘉峪关市环境卫生管理局垃圾分类处理资金筹措计划</w:t>
          </w:r>
        </w:p>
        <w:p>
          <w:pPr>
            <w:pStyle w:val="28"/>
            <w:tabs>
              <w:tab w:val="right" w:leader="dot" w:pos="8306"/>
            </w:tabs>
            <w:spacing w:line="400" w:lineRule="exact"/>
            <w:ind w:left="420"/>
            <w:rPr>
              <w:rFonts w:ascii="宋体" w:hAnsi="宋体" w:cs="宋体"/>
              <w:sz w:val="24"/>
              <w:szCs w:val="24"/>
            </w:rPr>
          </w:pPr>
          <w:r>
            <w:rPr>
              <w:rFonts w:hint="eastAsia" w:ascii="宋体" w:hAnsi="宋体" w:cs="宋体"/>
              <w:sz w:val="24"/>
              <w:szCs w:val="24"/>
            </w:rPr>
            <w:t>5.国务院办公厅《关于转发国家发展改革委住房城乡建设部生活垃圾分类制度实施方案的通知》（国办发〔2017〕26号）</w:t>
          </w:r>
        </w:p>
        <w:p>
          <w:pPr>
            <w:pStyle w:val="28"/>
            <w:tabs>
              <w:tab w:val="right" w:leader="dot" w:pos="8306"/>
            </w:tabs>
            <w:spacing w:line="400" w:lineRule="exact"/>
            <w:ind w:left="420"/>
            <w:rPr>
              <w:rFonts w:ascii="宋体" w:hAnsi="宋体" w:cs="宋体"/>
              <w:sz w:val="24"/>
              <w:szCs w:val="24"/>
            </w:rPr>
          </w:pPr>
          <w:r>
            <w:rPr>
              <w:rFonts w:hint="eastAsia" w:ascii="宋体" w:hAnsi="宋体" w:cs="宋体"/>
              <w:sz w:val="24"/>
              <w:szCs w:val="24"/>
            </w:rPr>
            <w:t>6.甘肃省人民政府办公厅《甘肃省城市生活垃圾分类制度实施方案》（甘政办发〔2017〕176号）</w:t>
          </w:r>
        </w:p>
        <w:p>
          <w:pPr>
            <w:pStyle w:val="28"/>
            <w:tabs>
              <w:tab w:val="right" w:leader="dot" w:pos="8306"/>
            </w:tabs>
            <w:spacing w:line="400" w:lineRule="exact"/>
            <w:ind w:left="420"/>
            <w:rPr>
              <w:rFonts w:ascii="宋体" w:hAnsi="宋体" w:cs="宋体"/>
              <w:sz w:val="24"/>
              <w:szCs w:val="24"/>
            </w:rPr>
          </w:pPr>
          <w:r>
            <w:rPr>
              <w:rFonts w:hint="eastAsia" w:ascii="宋体" w:hAnsi="宋体" w:cs="宋体"/>
              <w:sz w:val="24"/>
              <w:szCs w:val="24"/>
            </w:rPr>
            <w:t>7.嘉峪关市人民政府办公室《嘉峪关市城市生活垃圾分类制度实施方案》（嘉政办发〔2018〕233号）</w:t>
          </w:r>
        </w:p>
        <w:p>
          <w:pPr>
            <w:pStyle w:val="28"/>
            <w:tabs>
              <w:tab w:val="right" w:leader="dot" w:pos="8306"/>
            </w:tabs>
            <w:spacing w:line="400" w:lineRule="exact"/>
            <w:ind w:left="420"/>
            <w:rPr>
              <w:rFonts w:ascii="宋体" w:hAnsi="宋体" w:cs="宋体"/>
              <w:sz w:val="24"/>
              <w:szCs w:val="24"/>
            </w:rPr>
          </w:pPr>
          <w:r>
            <w:rPr>
              <w:rFonts w:hint="eastAsia" w:ascii="宋体" w:hAnsi="宋体" w:cs="宋体"/>
              <w:sz w:val="24"/>
              <w:szCs w:val="24"/>
            </w:rPr>
            <w:t>8.嘉峪关市城市生活垃圾分类试点项目建设用地预审意见</w:t>
          </w:r>
        </w:p>
        <w:p>
          <w:pPr>
            <w:pStyle w:val="28"/>
            <w:tabs>
              <w:tab w:val="right" w:leader="dot" w:pos="8306"/>
            </w:tabs>
            <w:spacing w:line="400" w:lineRule="exact"/>
            <w:ind w:left="420"/>
            <w:rPr>
              <w:rFonts w:ascii="宋体" w:hAnsi="宋体" w:cs="宋体"/>
              <w:sz w:val="24"/>
              <w:szCs w:val="24"/>
            </w:rPr>
          </w:pPr>
          <w:r>
            <w:rPr>
              <w:rFonts w:hint="eastAsia" w:ascii="宋体" w:hAnsi="宋体" w:cs="宋体"/>
              <w:sz w:val="24"/>
              <w:szCs w:val="24"/>
            </w:rPr>
            <w:t>9.嘉峪关市垃圾分拣中心《建设用地规划许可证》（待提供）</w:t>
          </w:r>
        </w:p>
        <w:p>
          <w:pPr>
            <w:pStyle w:val="28"/>
            <w:tabs>
              <w:tab w:val="right" w:leader="dot" w:pos="8306"/>
            </w:tabs>
            <w:spacing w:line="400" w:lineRule="exact"/>
            <w:ind w:left="420"/>
            <w:rPr>
              <w:rFonts w:ascii="宋体" w:hAnsi="宋体" w:cs="宋体"/>
              <w:sz w:val="24"/>
              <w:szCs w:val="24"/>
            </w:rPr>
          </w:pPr>
          <w:r>
            <w:rPr>
              <w:rFonts w:hint="eastAsia" w:ascii="宋体" w:hAnsi="宋体" w:cs="宋体"/>
              <w:sz w:val="24"/>
              <w:szCs w:val="24"/>
            </w:rPr>
            <w:t>10.嘉峪关市垃圾分拣中心《建设工程规划许可证》（待提供）</w:t>
          </w:r>
        </w:p>
        <w:p>
          <w:pPr>
            <w:pStyle w:val="21"/>
            <w:ind w:firstLine="514"/>
            <w:rPr>
              <w:rFonts w:cs="宋体"/>
              <w:sz w:val="36"/>
              <w:szCs w:val="36"/>
            </w:rPr>
          </w:pPr>
        </w:p>
      </w:sdtContent>
    </w:sdt>
    <w:p>
      <w:pPr>
        <w:rPr>
          <w:rFonts w:ascii="宋体" w:hAnsi="宋体" w:eastAsia="宋体" w:cs="宋体"/>
          <w:sz w:val="36"/>
          <w:szCs w:val="36"/>
        </w:rPr>
      </w:pPr>
    </w:p>
    <w:p>
      <w:pPr>
        <w:rPr>
          <w:rFonts w:ascii="宋体" w:hAnsi="宋体" w:eastAsia="宋体" w:cs="宋体"/>
          <w:sz w:val="36"/>
          <w:szCs w:val="36"/>
        </w:rPr>
      </w:pPr>
    </w:p>
    <w:p>
      <w:pPr>
        <w:pStyle w:val="3"/>
        <w:spacing w:beforeLines="100" w:afterLines="100" w:line="578" w:lineRule="exact"/>
        <w:jc w:val="center"/>
        <w:rPr>
          <w:rFonts w:ascii="宋体" w:hAnsi="宋体" w:eastAsia="宋体" w:cs="宋体"/>
          <w:sz w:val="36"/>
          <w:szCs w:val="36"/>
        </w:rPr>
        <w:sectPr>
          <w:footerReference r:id="rId6" w:type="default"/>
          <w:pgSz w:w="11906" w:h="16838"/>
          <w:pgMar w:top="1440" w:right="1800" w:bottom="1440" w:left="1800" w:header="1134" w:footer="992" w:gutter="0"/>
          <w:pgNumType w:start="1"/>
          <w:cols w:space="425" w:num="1"/>
          <w:docGrid w:type="lines" w:linePitch="312" w:charSpace="0"/>
        </w:sectPr>
      </w:pPr>
    </w:p>
    <w:p>
      <w:pPr>
        <w:spacing w:line="360" w:lineRule="auto"/>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专家意见答复：</w:t>
      </w:r>
    </w:p>
    <w:p>
      <w:pPr>
        <w:spacing w:line="360" w:lineRule="auto"/>
        <w:ind w:firstLine="643" w:firstLineChars="200"/>
        <w:rPr>
          <w:rFonts w:ascii="仿宋_GB2312" w:hAnsi="仿宋_GB2312" w:eastAsia="仿宋_GB2312" w:cs="仿宋_GB2312"/>
          <w:b/>
          <w:bCs/>
          <w:sz w:val="32"/>
          <w:szCs w:val="32"/>
        </w:rPr>
      </w:pPr>
      <w:bookmarkStart w:id="72" w:name="_Toc14842_WPSOffice_Level1"/>
      <w:r>
        <w:rPr>
          <w:rFonts w:hint="eastAsia" w:ascii="仿宋_GB2312" w:hAnsi="仿宋_GB2312" w:eastAsia="仿宋_GB2312" w:cs="仿宋_GB2312"/>
          <w:b/>
          <w:bCs/>
          <w:sz w:val="32"/>
          <w:szCs w:val="32"/>
        </w:rPr>
        <w:t>一、专家一意见答复（建筑结构）李晓峰</w:t>
      </w:r>
      <w:bookmarkEnd w:id="72"/>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意见1：</w:t>
      </w:r>
      <w:r>
        <w:rPr>
          <w:rFonts w:hint="eastAsia" w:ascii="仿宋_GB2312" w:hAnsi="仿宋_GB2312" w:eastAsia="仿宋_GB2312" w:cs="仿宋_GB2312"/>
          <w:sz w:val="32"/>
          <w:szCs w:val="32"/>
        </w:rPr>
        <w:t>分拣中心选址在哪？</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同意专家意见选址位于嘉峪关市创业大道以南，东经二路以西，详见文本P101页。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意见2：</w:t>
      </w:r>
      <w:r>
        <w:rPr>
          <w:rFonts w:hint="eastAsia" w:ascii="仿宋_GB2312" w:hAnsi="仿宋_GB2312" w:eastAsia="仿宋_GB2312" w:cs="仿宋_GB2312"/>
          <w:sz w:val="32"/>
          <w:szCs w:val="32"/>
        </w:rPr>
        <w:t>智慧垃圾分类收集系统投放费用已经包含在了总投资内了吗；软件、硬件费用均包含了吗；本报告智慧垃圾分类收集系统先试点未能覆盖全市吗。</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同意专家意见，智慧垃圾分类收集系统投放费用已经包含在了总投资内，软件、硬件费用均包含，详见文本P141-155页。智慧垃圾分类收集系统先试点，分阶段实施，逐步覆盖全市，详见文本P45-50页。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意见3：</w:t>
      </w:r>
      <w:r>
        <w:rPr>
          <w:rFonts w:hint="eastAsia" w:ascii="仿宋_GB2312" w:hAnsi="仿宋_GB2312" w:eastAsia="仿宋_GB2312" w:cs="仿宋_GB2312"/>
          <w:sz w:val="32"/>
          <w:szCs w:val="32"/>
        </w:rPr>
        <w:t>对智慧垃圾分类收集设备保养维护、配电（太阳能吗）运行成本、误投放查改机制等未见详细说明。</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同意专家意见，对智慧垃圾分类收集设备保养维护、配电运行成本，详见文本P152-154页，误投放查改机制等进行了详细补充，详见文本小区、学校、机关单位巡检督导章节。</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意见4：</w:t>
      </w:r>
      <w:r>
        <w:rPr>
          <w:rFonts w:hint="eastAsia" w:ascii="仿宋_GB2312" w:hAnsi="仿宋_GB2312" w:eastAsia="仿宋_GB2312" w:cs="仿宋_GB2312"/>
          <w:sz w:val="32"/>
          <w:szCs w:val="32"/>
        </w:rPr>
        <w:t>运行扫码奖励可持续资金从何而来？</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同意专家意见，运行扫码奖励可持续资金将可回收物回收费用全部作为奖励资金，不足部分由政府补贴，详见文本P141-155页。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意见5：</w:t>
      </w:r>
      <w:r>
        <w:rPr>
          <w:rFonts w:hint="eastAsia" w:ascii="仿宋_GB2312" w:hAnsi="仿宋_GB2312" w:eastAsia="仿宋_GB2312" w:cs="仿宋_GB2312"/>
          <w:sz w:val="32"/>
          <w:szCs w:val="32"/>
        </w:rPr>
        <w:t>分拣中心主体、分拣设备缺少结构形式、技术型号规格数量等指标支撑投资估算。</w:t>
      </w:r>
    </w:p>
    <w:p>
      <w:pPr>
        <w:spacing w:line="360" w:lineRule="auto"/>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同意专家意见，补充分拣中心主体、分拣设备结构形式、技术型号规格数量等指标，详见文本P90-101页。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意见6：</w:t>
      </w:r>
      <w:r>
        <w:rPr>
          <w:rFonts w:hint="eastAsia" w:ascii="仿宋_GB2312" w:hAnsi="仿宋_GB2312" w:eastAsia="仿宋_GB2312" w:cs="仿宋_GB2312"/>
          <w:sz w:val="32"/>
          <w:szCs w:val="32"/>
        </w:rPr>
        <w:t>报告编制单位证书、备案、签章等资格文件支持不充分需要明确补充。</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同意专家意见，补充编制单位证书、备案、签章等资格文件。</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意见7</w:t>
      </w:r>
      <w:r>
        <w:rPr>
          <w:rFonts w:hint="eastAsia" w:ascii="仿宋_GB2312" w:hAnsi="仿宋_GB2312" w:eastAsia="仿宋_GB2312" w:cs="仿宋_GB2312"/>
          <w:sz w:val="32"/>
          <w:szCs w:val="32"/>
        </w:rPr>
        <w:t>：街道垃圾分类未能覆盖论述。</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同意专家意见，街道垃圾分类由嘉峪关桑德环境科技有限公司承担，对未进行分类投放的垃圾运至分拣中心进行二次分拣，详见文本P73页。</w:t>
      </w:r>
    </w:p>
    <w:p>
      <w:pPr>
        <w:spacing w:line="360" w:lineRule="auto"/>
        <w:ind w:firstLine="643" w:firstLineChars="200"/>
        <w:rPr>
          <w:rFonts w:ascii="仿宋_GB2312" w:hAnsi="仿宋_GB2312" w:eastAsia="仿宋_GB2312" w:cs="仿宋_GB2312"/>
          <w:b/>
          <w:bCs/>
          <w:sz w:val="32"/>
          <w:szCs w:val="32"/>
        </w:rPr>
      </w:pPr>
      <w:bookmarkStart w:id="73" w:name="_Toc28080_WPSOffice_Level1"/>
      <w:r>
        <w:rPr>
          <w:rFonts w:hint="eastAsia" w:ascii="仿宋_GB2312" w:hAnsi="仿宋_GB2312" w:eastAsia="仿宋_GB2312" w:cs="仿宋_GB2312"/>
          <w:b/>
          <w:bCs/>
          <w:sz w:val="32"/>
          <w:szCs w:val="32"/>
        </w:rPr>
        <w:t>二、专家二意见答复（工业环保）刘永红</w:t>
      </w:r>
      <w:bookmarkEnd w:id="73"/>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意见1：</w:t>
      </w:r>
      <w:r>
        <w:rPr>
          <w:rFonts w:hint="eastAsia" w:ascii="仿宋_GB2312" w:hAnsi="仿宋_GB2312" w:eastAsia="仿宋_GB2312" w:cs="仿宋_GB2312"/>
          <w:sz w:val="32"/>
          <w:szCs w:val="32"/>
        </w:rPr>
        <w:t>完善现状资料调查，对城市生活垃圾的构成按季节分析，并对应处置措施。</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同意专家意见，对嘉峪关市城市生活垃圾现状进行详细调查研究，补充相关内容描述，详见文本P13-15、P59页。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意见2：</w:t>
      </w:r>
      <w:r>
        <w:rPr>
          <w:rFonts w:hint="eastAsia" w:ascii="仿宋_GB2312" w:hAnsi="仿宋_GB2312" w:eastAsia="仿宋_GB2312" w:cs="仿宋_GB2312"/>
          <w:sz w:val="32"/>
          <w:szCs w:val="32"/>
        </w:rPr>
        <w:t>细化垃圾分类储存系统设计，说明各环节的运输方式。</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同意专家意见，对垃圾分类储存系统进行了细化，详见文本P93页，各环节运输方式详见文本各章节。</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意见3：</w:t>
      </w:r>
      <w:r>
        <w:rPr>
          <w:rFonts w:hint="eastAsia" w:ascii="仿宋_GB2312" w:hAnsi="仿宋_GB2312" w:eastAsia="仿宋_GB2312" w:cs="仿宋_GB2312"/>
          <w:sz w:val="32"/>
          <w:szCs w:val="32"/>
        </w:rPr>
        <w:t>补充说明垃圾分选点的数量、选址及说明，完善机械化分选的工艺流程。</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同意专家意见，补充说明垃圾分选点的数量、选址及说明，完善机械化分选的工艺流程，详见文本P92-97页。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意见4：</w:t>
      </w:r>
      <w:r>
        <w:rPr>
          <w:rFonts w:hint="eastAsia" w:ascii="仿宋_GB2312" w:hAnsi="仿宋_GB2312" w:eastAsia="仿宋_GB2312" w:cs="仿宋_GB2312"/>
          <w:sz w:val="32"/>
          <w:szCs w:val="32"/>
        </w:rPr>
        <w:t>补充完善垃圾分选后各种垃圾末端处理系统的工艺，流程，处理系统的选址，废物的处置去向，回收部分最终利用类别。</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垃圾分选后可回收垃圾按照分类运至相应的回收站进行回收利用；有毒有害垃圾分选后进行无害化处理，可回收部分运至相应的回收站二次循环利用；厨余垃圾运至餐厨垃圾处理厂进行堆肥处理；其他垃圾运至垃圾填埋场进行无害化填埋处理。详见文本P97-101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意见5：</w:t>
      </w:r>
      <w:r>
        <w:rPr>
          <w:rFonts w:hint="eastAsia" w:ascii="仿宋_GB2312" w:hAnsi="仿宋_GB2312" w:eastAsia="仿宋_GB2312" w:cs="仿宋_GB2312"/>
          <w:sz w:val="32"/>
          <w:szCs w:val="32"/>
        </w:rPr>
        <w:t>完善、细化环保措施及环保投入。</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同意专家意见，随着嘉峪关市城市生活垃圾收运体系的投入，分析了收运体系带来的影响因素及环保措施，详见文本P123-129页。</w:t>
      </w:r>
    </w:p>
    <w:p>
      <w:pPr>
        <w:spacing w:line="360" w:lineRule="auto"/>
        <w:ind w:firstLine="643" w:firstLineChars="200"/>
        <w:rPr>
          <w:rFonts w:ascii="仿宋_GB2312" w:hAnsi="仿宋_GB2312" w:eastAsia="仿宋_GB2312" w:cs="仿宋_GB2312"/>
          <w:b/>
          <w:bCs/>
          <w:sz w:val="32"/>
          <w:szCs w:val="32"/>
        </w:rPr>
      </w:pPr>
      <w:bookmarkStart w:id="74" w:name="_Toc32291_WPSOffice_Level1"/>
      <w:r>
        <w:rPr>
          <w:rFonts w:hint="eastAsia" w:ascii="仿宋_GB2312" w:hAnsi="仿宋_GB2312" w:eastAsia="仿宋_GB2312" w:cs="仿宋_GB2312"/>
          <w:b/>
          <w:bCs/>
          <w:sz w:val="32"/>
          <w:szCs w:val="32"/>
        </w:rPr>
        <w:t>三、专家三意见答复（环保）孙彩琴</w:t>
      </w:r>
      <w:bookmarkEnd w:id="74"/>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意见1：</w:t>
      </w:r>
      <w:r>
        <w:rPr>
          <w:rFonts w:hint="eastAsia" w:ascii="仿宋_GB2312" w:hAnsi="仿宋_GB2312" w:eastAsia="仿宋_GB2312" w:cs="仿宋_GB2312"/>
          <w:sz w:val="32"/>
          <w:szCs w:val="32"/>
        </w:rPr>
        <w:t>利用近几年环卫局统计数据，分析现有生活垃圾日产生量及人均日产生量，并对垃圾产生量预测结果进行核实。</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同意专家意见，利用近几年环卫局统计数据，分析了现有生活垃圾日产生量及人均日产生量，并对垃圾产生量预测结果进行了核实，详见P24-27页。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意见2：</w:t>
      </w:r>
      <w:r>
        <w:rPr>
          <w:rFonts w:hint="eastAsia" w:ascii="仿宋_GB2312" w:hAnsi="仿宋_GB2312" w:eastAsia="仿宋_GB2312" w:cs="仿宋_GB2312"/>
          <w:sz w:val="32"/>
          <w:szCs w:val="32"/>
        </w:rPr>
        <w:t>补充分析学校垃圾产生现状，细化学校垃圾分类收集系统。</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同意专家意见，补充分析学校垃圾产生现状，细化学校垃圾分类收集系统，详见P53-56页。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意见3：</w:t>
      </w:r>
      <w:r>
        <w:rPr>
          <w:rFonts w:hint="eastAsia" w:ascii="仿宋_GB2312" w:hAnsi="仿宋_GB2312" w:eastAsia="仿宋_GB2312" w:cs="仿宋_GB2312"/>
          <w:sz w:val="32"/>
          <w:szCs w:val="32"/>
        </w:rPr>
        <w:t>完善项目环境影响因素分析内容，补充恶臭，固废、垃圾渗滤液影响分析及采取的环保措施。</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同意专家意见，完善项目环境影响因素分析内容，补充恶臭，固废、垃圾渗滤液影响分析及采取的环保措施，详见PP123-129页。</w:t>
      </w:r>
    </w:p>
    <w:p>
      <w:pPr>
        <w:spacing w:line="360" w:lineRule="auto"/>
        <w:ind w:firstLine="643" w:firstLineChars="200"/>
        <w:rPr>
          <w:rFonts w:ascii="仿宋_GB2312" w:hAnsi="仿宋_GB2312" w:eastAsia="仿宋_GB2312" w:cs="仿宋_GB2312"/>
          <w:b/>
          <w:bCs/>
          <w:sz w:val="32"/>
          <w:szCs w:val="32"/>
        </w:rPr>
      </w:pPr>
      <w:bookmarkStart w:id="75" w:name="_Toc27247_WPSOffice_Level1"/>
      <w:r>
        <w:rPr>
          <w:rFonts w:hint="eastAsia" w:ascii="仿宋_GB2312" w:hAnsi="仿宋_GB2312" w:eastAsia="仿宋_GB2312" w:cs="仿宋_GB2312"/>
          <w:b/>
          <w:bCs/>
          <w:sz w:val="32"/>
          <w:szCs w:val="32"/>
        </w:rPr>
        <w:t>四、专家四意见答复（环保）张晓雯</w:t>
      </w:r>
      <w:bookmarkEnd w:id="75"/>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意见1：</w:t>
      </w:r>
      <w:r>
        <w:rPr>
          <w:rFonts w:hint="eastAsia" w:ascii="仿宋_GB2312" w:hAnsi="仿宋_GB2312" w:eastAsia="仿宋_GB2312" w:cs="仿宋_GB2312"/>
          <w:sz w:val="32"/>
          <w:szCs w:val="32"/>
        </w:rPr>
        <w:t>核实有害生活垃圾分类，完善收集、分拣可行性分析；进一步分析可燃性垃圾、有害生活垃圾处置方式或去向的可行性。</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同意专家意见，详见文本技术方案P38-53页。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意见2：</w:t>
      </w:r>
      <w:r>
        <w:rPr>
          <w:rFonts w:hint="eastAsia" w:ascii="仿宋_GB2312" w:hAnsi="仿宋_GB2312" w:eastAsia="仿宋_GB2312" w:cs="仿宋_GB2312"/>
          <w:sz w:val="32"/>
          <w:szCs w:val="32"/>
        </w:rPr>
        <w:t>完善环境保护内容，细化营运期环境保护措施，明确污水处理系统收集污泥去向及分拣厂卫生防护距离设置情况。</w:t>
      </w:r>
    </w:p>
    <w:p>
      <w:pPr>
        <w:spacing w:line="360" w:lineRule="auto"/>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同意专家意见，完善环境保护内容，细化营运期环境保护措施，详见文本P123-129页。污水处理系统收集污泥去向及分拣厂卫生防护距离设置情况，详见文本P100-101页。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意见3：</w:t>
      </w:r>
      <w:r>
        <w:rPr>
          <w:rFonts w:hint="eastAsia" w:ascii="仿宋_GB2312" w:hAnsi="仿宋_GB2312" w:eastAsia="仿宋_GB2312" w:cs="仿宋_GB2312"/>
          <w:sz w:val="32"/>
          <w:szCs w:val="32"/>
        </w:rPr>
        <w:t>完善项目各污染物对环境主要影响分析并提出可行、有效的对策。</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同意专家意见，随着嘉峪关市城市生活垃圾收运体系的投入，分析了收运体系带来的各种影响因素及对应的环保措施，详见文本P123-129页。</w:t>
      </w:r>
    </w:p>
    <w:p>
      <w:pPr>
        <w:spacing w:line="360" w:lineRule="auto"/>
        <w:ind w:firstLine="643" w:firstLineChars="200"/>
        <w:rPr>
          <w:rFonts w:ascii="仿宋_GB2312" w:hAnsi="仿宋_GB2312" w:eastAsia="仿宋_GB2312" w:cs="仿宋_GB2312"/>
          <w:b/>
          <w:bCs/>
          <w:sz w:val="32"/>
          <w:szCs w:val="32"/>
        </w:rPr>
      </w:pPr>
      <w:bookmarkStart w:id="76" w:name="_Toc2320_WPSOffice_Level1"/>
      <w:r>
        <w:rPr>
          <w:rFonts w:hint="eastAsia" w:ascii="仿宋_GB2312" w:hAnsi="仿宋_GB2312" w:eastAsia="仿宋_GB2312" w:cs="仿宋_GB2312"/>
          <w:b/>
          <w:bCs/>
          <w:sz w:val="32"/>
          <w:szCs w:val="32"/>
        </w:rPr>
        <w:t>五、专家五意见答复（投资估算）赵慧平</w:t>
      </w:r>
      <w:bookmarkEnd w:id="76"/>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意见1：</w:t>
      </w:r>
      <w:r>
        <w:rPr>
          <w:rFonts w:hint="eastAsia" w:ascii="仿宋_GB2312" w:hAnsi="仿宋_GB2312" w:eastAsia="仿宋_GB2312" w:cs="仿宋_GB2312"/>
          <w:sz w:val="32"/>
          <w:szCs w:val="32"/>
        </w:rPr>
        <w:t>编制依据缺失执行政策性文件。</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同意专家意见，补充缺失执行政策性文件，详见文本P141-142页。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意见2：</w:t>
      </w:r>
      <w:r>
        <w:rPr>
          <w:rFonts w:hint="eastAsia" w:ascii="仿宋_GB2312" w:hAnsi="仿宋_GB2312" w:eastAsia="仿宋_GB2312" w:cs="仿宋_GB2312"/>
          <w:sz w:val="32"/>
          <w:szCs w:val="32"/>
        </w:rPr>
        <w:t>缺失造价咨询费、价差预备费、投资估算分析。</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同意专家意见，补充造价咨询费、价差预备费、投资估算分析，详见文本P141-155页。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意见3：</w:t>
      </w:r>
      <w:r>
        <w:rPr>
          <w:rFonts w:hint="eastAsia" w:ascii="仿宋_GB2312" w:hAnsi="仿宋_GB2312" w:eastAsia="仿宋_GB2312" w:cs="仿宋_GB2312"/>
          <w:sz w:val="32"/>
          <w:szCs w:val="32"/>
        </w:rPr>
        <w:t>分拣中心建筑工程投资为1300万元，无具体单位工程及估算指标；垃圾处理及分拣中心设备费为2219.13万元，无设备名称、规格型号、数量、价格汇总表。</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同意专家意见，补充细化投资估算，详见文本P152-154页。</w:t>
      </w:r>
    </w:p>
    <w:p>
      <w:pPr>
        <w:spacing w:line="360" w:lineRule="auto"/>
        <w:ind w:firstLine="643" w:firstLineChars="200"/>
        <w:rPr>
          <w:rFonts w:ascii="仿宋_GB2312" w:hAnsi="仿宋_GB2312" w:eastAsia="仿宋_GB2312" w:cs="仿宋_GB2312"/>
          <w:b/>
          <w:bCs/>
          <w:sz w:val="32"/>
          <w:szCs w:val="32"/>
        </w:rPr>
      </w:pPr>
      <w:bookmarkStart w:id="77" w:name="_Toc3412_WPSOffice_Level1"/>
      <w:r>
        <w:rPr>
          <w:rFonts w:hint="eastAsia" w:ascii="仿宋_GB2312" w:hAnsi="仿宋_GB2312" w:eastAsia="仿宋_GB2312" w:cs="仿宋_GB2312"/>
          <w:b/>
          <w:bCs/>
          <w:sz w:val="32"/>
          <w:szCs w:val="32"/>
        </w:rPr>
        <w:t>六、意见答复（环保）张璟尧</w:t>
      </w:r>
      <w:bookmarkEnd w:id="77"/>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意见1：</w:t>
      </w:r>
      <w:r>
        <w:rPr>
          <w:rFonts w:hint="eastAsia" w:ascii="仿宋_GB2312" w:hAnsi="仿宋_GB2312" w:eastAsia="仿宋_GB2312" w:cs="仿宋_GB2312"/>
          <w:sz w:val="32"/>
          <w:szCs w:val="32"/>
        </w:rPr>
        <w:t>缺少建设项目概况及建设内容描述</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同意专家意见，对项目概况及建设内容进行补充，详见文本P7-8页。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意见2：</w:t>
      </w:r>
      <w:r>
        <w:rPr>
          <w:rFonts w:hint="eastAsia" w:ascii="仿宋_GB2312" w:hAnsi="仿宋_GB2312" w:eastAsia="仿宋_GB2312" w:cs="仿宋_GB2312"/>
          <w:sz w:val="32"/>
          <w:szCs w:val="32"/>
        </w:rPr>
        <w:t>概念性描述过多，实际项目运营期无相关描述</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同意专家意见，详见文本运营方案P62-76。</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意见3：</w:t>
      </w:r>
      <w:r>
        <w:rPr>
          <w:rFonts w:hint="eastAsia" w:ascii="仿宋_GB2312" w:hAnsi="仿宋_GB2312" w:eastAsia="仿宋_GB2312" w:cs="仿宋_GB2312"/>
          <w:sz w:val="32"/>
          <w:szCs w:val="32"/>
        </w:rPr>
        <w:t>环境影响因素描述不清，缺少水环境影响。</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同意专家意见，补充了各种影响因素及对应的环保措施，详见文本P123-129页。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意见4：</w:t>
      </w:r>
      <w:r>
        <w:rPr>
          <w:rFonts w:hint="eastAsia" w:ascii="仿宋_GB2312" w:hAnsi="仿宋_GB2312" w:eastAsia="仿宋_GB2312" w:cs="仿宋_GB2312"/>
          <w:sz w:val="32"/>
          <w:szCs w:val="32"/>
        </w:rPr>
        <w:t>缺少危废描述，固废、危废收集，处置缺少分析。</w:t>
      </w:r>
    </w:p>
    <w:p>
      <w:pPr>
        <w:spacing w:line="360" w:lineRule="auto"/>
        <w:ind w:firstLine="643" w:firstLineChars="200"/>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同意专家意见，本项目为城市生活垃圾分类收集投放运输处理，固废、危废不在本项目范围内，故不作分析。</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意见5：</w:t>
      </w:r>
      <w:r>
        <w:rPr>
          <w:rFonts w:hint="eastAsia" w:ascii="仿宋_GB2312" w:hAnsi="仿宋_GB2312" w:eastAsia="仿宋_GB2312" w:cs="仿宋_GB2312"/>
          <w:sz w:val="32"/>
          <w:szCs w:val="32"/>
        </w:rPr>
        <w:t>环保措施缺少项目营运期描述。</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同意专家意见，补充项目营运期环保措施，详见文本P123-129页。</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意见6：</w:t>
      </w:r>
      <w:r>
        <w:rPr>
          <w:rFonts w:hint="eastAsia" w:ascii="仿宋_GB2312" w:hAnsi="仿宋_GB2312" w:eastAsia="仿宋_GB2312" w:cs="仿宋_GB2312"/>
          <w:sz w:val="32"/>
          <w:szCs w:val="32"/>
        </w:rPr>
        <w:t>文中所列环保措施不具有可行性。</w:t>
      </w:r>
    </w:p>
    <w:p>
      <w:pPr>
        <w:spacing w:line="360" w:lineRule="auto"/>
        <w:ind w:firstLine="643" w:firstLineChars="200"/>
        <w:rPr>
          <w:rFonts w:ascii="仿宋_GB2312" w:hAnsi="仿宋_GB2312" w:eastAsia="仿宋_GB2312" w:cs="仿宋_GB2312"/>
          <w:sz w:val="32"/>
          <w:szCs w:val="32"/>
        </w:rPr>
      </w:pPr>
      <w:r>
        <w:rPr>
          <w:rFonts w:hint="eastAsia" w:ascii="仿宋_GB2312" w:hAnsi="仿宋_GB2312" w:eastAsia="仿宋_GB2312" w:cs="仿宋_GB2312"/>
          <w:b/>
          <w:bCs/>
          <w:sz w:val="32"/>
          <w:szCs w:val="32"/>
        </w:rPr>
        <w:t>答复：</w:t>
      </w:r>
      <w:r>
        <w:rPr>
          <w:rFonts w:hint="eastAsia" w:ascii="仿宋_GB2312" w:hAnsi="仿宋_GB2312" w:eastAsia="仿宋_GB2312" w:cs="仿宋_GB2312"/>
          <w:sz w:val="32"/>
          <w:szCs w:val="32"/>
        </w:rPr>
        <w:t>按照专家意见修改，详见文本P123-129页。</w:t>
      </w:r>
    </w:p>
    <w:p>
      <w:pPr>
        <w:pStyle w:val="3"/>
        <w:spacing w:beforeLines="100" w:afterLines="100" w:line="578" w:lineRule="exact"/>
        <w:jc w:val="center"/>
        <w:rPr>
          <w:rFonts w:ascii="宋体" w:hAnsi="宋体" w:eastAsia="宋体" w:cs="宋体"/>
          <w:sz w:val="36"/>
          <w:szCs w:val="36"/>
        </w:rPr>
      </w:pPr>
    </w:p>
    <w:p>
      <w:pPr>
        <w:rPr>
          <w:rFonts w:ascii="宋体" w:hAnsi="宋体" w:eastAsia="宋体" w:cs="宋体"/>
          <w:sz w:val="36"/>
          <w:szCs w:val="36"/>
        </w:rPr>
      </w:pPr>
    </w:p>
    <w:p>
      <w:pPr>
        <w:pStyle w:val="21"/>
        <w:ind w:firstLine="925"/>
        <w:rPr>
          <w:rFonts w:cs="宋体"/>
          <w:sz w:val="36"/>
          <w:szCs w:val="36"/>
        </w:rPr>
      </w:pPr>
    </w:p>
    <w:p>
      <w:pPr>
        <w:rPr>
          <w:rFonts w:ascii="宋体" w:hAnsi="宋体" w:eastAsia="宋体" w:cs="宋体"/>
          <w:sz w:val="36"/>
          <w:szCs w:val="36"/>
        </w:rPr>
      </w:pPr>
    </w:p>
    <w:p>
      <w:pPr>
        <w:pStyle w:val="21"/>
        <w:ind w:firstLine="925"/>
        <w:rPr>
          <w:rFonts w:cs="宋体"/>
          <w:sz w:val="36"/>
          <w:szCs w:val="36"/>
        </w:rPr>
      </w:pPr>
    </w:p>
    <w:p/>
    <w:p>
      <w:pPr>
        <w:pStyle w:val="3"/>
        <w:spacing w:beforeLines="100" w:afterLines="100" w:line="578" w:lineRule="exact"/>
        <w:jc w:val="center"/>
        <w:rPr>
          <w:rFonts w:ascii="宋体" w:hAnsi="宋体" w:eastAsia="宋体" w:cs="宋体"/>
          <w:sz w:val="36"/>
          <w:szCs w:val="36"/>
        </w:rPr>
      </w:pPr>
      <w:bookmarkStart w:id="78" w:name="_Toc2_WPSOffice_Level1"/>
      <w:r>
        <w:rPr>
          <w:rFonts w:hint="eastAsia" w:ascii="宋体" w:hAnsi="宋体" w:eastAsia="宋体" w:cs="宋体"/>
          <w:sz w:val="36"/>
          <w:szCs w:val="36"/>
        </w:rPr>
        <w:t>第一章  总论</w:t>
      </w:r>
      <w:bookmarkEnd w:id="78"/>
    </w:p>
    <w:p>
      <w:pPr>
        <w:pStyle w:val="4"/>
        <w:spacing w:before="0" w:after="0" w:line="360" w:lineRule="auto"/>
        <w:ind w:firstLine="640" w:firstLineChars="200"/>
        <w:rPr>
          <w:rFonts w:ascii="黑体" w:hAnsi="黑体" w:cs="黑体"/>
          <w:b w:val="0"/>
          <w:bCs/>
        </w:rPr>
      </w:pPr>
      <w:bookmarkStart w:id="79" w:name="_Toc28080_WPSOffice_Level2"/>
      <w:bookmarkStart w:id="80" w:name="_Toc25916_WPSOffice_Level2"/>
      <w:bookmarkStart w:id="81" w:name="_Toc1710_WPSOffice_Level2"/>
      <w:bookmarkStart w:id="82" w:name="_Toc23541_WPSOffice_Level2"/>
      <w:bookmarkStart w:id="83" w:name="_Toc21360_WPSOffice_Level2"/>
      <w:bookmarkStart w:id="84" w:name="_Toc15249_WPSOffice_Level2"/>
      <w:bookmarkStart w:id="85" w:name="_Toc1041_WPSOffice_Level2"/>
      <w:r>
        <w:rPr>
          <w:rFonts w:hint="eastAsia" w:ascii="黑体" w:hAnsi="黑体" w:cs="黑体"/>
          <w:b w:val="0"/>
          <w:bCs/>
        </w:rPr>
        <w:t>1.1概述</w:t>
      </w:r>
      <w:bookmarkEnd w:id="79"/>
      <w:bookmarkEnd w:id="80"/>
      <w:bookmarkEnd w:id="81"/>
      <w:bookmarkEnd w:id="82"/>
      <w:bookmarkEnd w:id="83"/>
      <w:bookmarkEnd w:id="84"/>
      <w:bookmarkEnd w:id="85"/>
    </w:p>
    <w:p>
      <w:pPr>
        <w:pStyle w:val="21"/>
        <w:spacing w:before="0" w:line="578" w:lineRule="exact"/>
        <w:ind w:firstLine="640" w:firstLineChars="200"/>
        <w:rPr>
          <w:rFonts w:ascii="仿宋_GB2312" w:hAnsi="仿宋_GB2312" w:eastAsia="仿宋_GB2312" w:cs="仿宋_GB2312"/>
          <w:sz w:val="32"/>
          <w:szCs w:val="32"/>
        </w:rPr>
      </w:pPr>
      <w:bookmarkStart w:id="86" w:name="_Toc21360_WPSOffice_Level3"/>
      <w:bookmarkStart w:id="87" w:name="_Toc8840_WPSOffice_Level3"/>
      <w:bookmarkStart w:id="88" w:name="_Toc15607_WPSOffice_Level3"/>
      <w:bookmarkStart w:id="89" w:name="_Toc28080_WPSOffice_Level3"/>
      <w:bookmarkStart w:id="90" w:name="_Toc1710_WPSOffice_Level3"/>
      <w:bookmarkStart w:id="91" w:name="_Toc25916_WPSOffice_Level3"/>
      <w:bookmarkStart w:id="92" w:name="_Toc29386_WPSOffice_Level3"/>
      <w:bookmarkStart w:id="93" w:name="_Toc15249_WPSOffice_Level3"/>
      <w:bookmarkStart w:id="94" w:name="_Toc23541_WPSOffice_Level3"/>
      <w:r>
        <w:rPr>
          <w:rFonts w:hint="eastAsia" w:ascii="仿宋_GB2312" w:hAnsi="仿宋_GB2312" w:eastAsia="仿宋_GB2312" w:cs="仿宋_GB2312"/>
          <w:sz w:val="32"/>
          <w:szCs w:val="32"/>
        </w:rPr>
        <w:t>1.1.1项目名称：嘉峪关市城市生活垃圾分类试点项目</w:t>
      </w:r>
      <w:bookmarkEnd w:id="86"/>
      <w:bookmarkEnd w:id="87"/>
      <w:bookmarkEnd w:id="88"/>
      <w:bookmarkEnd w:id="89"/>
      <w:bookmarkEnd w:id="90"/>
      <w:bookmarkEnd w:id="91"/>
      <w:bookmarkEnd w:id="92"/>
      <w:bookmarkEnd w:id="93"/>
      <w:bookmarkEnd w:id="94"/>
    </w:p>
    <w:p>
      <w:pPr>
        <w:pStyle w:val="21"/>
        <w:spacing w:before="0" w:line="578" w:lineRule="exact"/>
        <w:ind w:firstLine="640" w:firstLineChars="200"/>
        <w:rPr>
          <w:rFonts w:ascii="仿宋_GB2312" w:hAnsi="仿宋_GB2312" w:eastAsia="仿宋_GB2312" w:cs="仿宋_GB2312"/>
          <w:sz w:val="32"/>
          <w:szCs w:val="32"/>
        </w:rPr>
      </w:pPr>
      <w:bookmarkStart w:id="95" w:name="_Toc13728_WPSOffice_Level3"/>
      <w:bookmarkStart w:id="96" w:name="_Toc16869_WPSOffice_Level3"/>
      <w:bookmarkStart w:id="97" w:name="_Toc7107_WPSOffice_Level3"/>
      <w:bookmarkStart w:id="98" w:name="_Toc8090_WPSOffice_Level3"/>
      <w:bookmarkStart w:id="99" w:name="_Toc1185_WPSOffice_Level3"/>
      <w:bookmarkStart w:id="100" w:name="_Toc27247_WPSOffice_Level3"/>
      <w:bookmarkStart w:id="101" w:name="_Toc8925_WPSOffice_Level3"/>
      <w:bookmarkStart w:id="102" w:name="_Toc465_WPSOffice_Level3"/>
      <w:bookmarkStart w:id="103" w:name="_Toc24139_WPSOffice_Level3"/>
      <w:r>
        <w:rPr>
          <w:rFonts w:hint="eastAsia" w:ascii="仿宋_GB2312" w:hAnsi="仿宋_GB2312" w:eastAsia="仿宋_GB2312" w:cs="仿宋_GB2312"/>
          <w:sz w:val="32"/>
          <w:szCs w:val="32"/>
        </w:rPr>
        <w:t>1.1.2建设单位：嘉峪关市环境卫生管理局</w:t>
      </w:r>
      <w:bookmarkEnd w:id="95"/>
      <w:bookmarkEnd w:id="96"/>
      <w:bookmarkEnd w:id="97"/>
      <w:bookmarkEnd w:id="98"/>
      <w:bookmarkEnd w:id="99"/>
      <w:bookmarkEnd w:id="100"/>
      <w:bookmarkEnd w:id="101"/>
      <w:bookmarkEnd w:id="102"/>
      <w:bookmarkEnd w:id="103"/>
    </w:p>
    <w:p>
      <w:pPr>
        <w:pStyle w:val="21"/>
        <w:spacing w:before="0" w:line="578" w:lineRule="exact"/>
        <w:ind w:firstLine="640" w:firstLineChars="200"/>
        <w:rPr>
          <w:rFonts w:ascii="仿宋_GB2312" w:hAnsi="仿宋_GB2312" w:eastAsia="仿宋_GB2312" w:cs="仿宋_GB2312"/>
          <w:sz w:val="32"/>
          <w:szCs w:val="32"/>
        </w:rPr>
      </w:pPr>
      <w:bookmarkStart w:id="104" w:name="_Toc2320_WPSOffice_Level3"/>
      <w:bookmarkStart w:id="105" w:name="_Toc26843_WPSOffice_Level3"/>
      <w:bookmarkStart w:id="106" w:name="_Toc2911_WPSOffice_Level3"/>
      <w:r>
        <w:rPr>
          <w:rFonts w:hint="eastAsia" w:ascii="仿宋_GB2312" w:hAnsi="仿宋_GB2312" w:eastAsia="仿宋_GB2312" w:cs="仿宋_GB2312"/>
          <w:sz w:val="32"/>
          <w:szCs w:val="32"/>
        </w:rPr>
        <w:t>1.1.3设计单位：新时代（西安）设计研究院有限公司</w:t>
      </w:r>
      <w:bookmarkEnd w:id="104"/>
      <w:bookmarkEnd w:id="105"/>
      <w:bookmarkEnd w:id="106"/>
    </w:p>
    <w:p>
      <w:pPr>
        <w:pStyle w:val="21"/>
        <w:spacing w:before="0" w:line="578" w:lineRule="exact"/>
        <w:ind w:firstLine="640" w:firstLineChars="200"/>
        <w:rPr>
          <w:rFonts w:ascii="仿宋_GB2312" w:hAnsi="仿宋_GB2312" w:eastAsia="仿宋_GB2312" w:cs="仿宋_GB2312"/>
          <w:sz w:val="32"/>
          <w:szCs w:val="32"/>
        </w:rPr>
      </w:pPr>
      <w:bookmarkStart w:id="107" w:name="_Toc6926_WPSOffice_Level3"/>
      <w:bookmarkStart w:id="108" w:name="_Toc3412_WPSOffice_Level3"/>
      <w:bookmarkStart w:id="109" w:name="_Toc28228_WPSOffice_Level3"/>
      <w:r>
        <w:rPr>
          <w:rFonts w:hint="eastAsia" w:ascii="仿宋_GB2312" w:hAnsi="仿宋_GB2312" w:eastAsia="仿宋_GB2312" w:cs="仿宋_GB2312"/>
          <w:sz w:val="32"/>
          <w:szCs w:val="32"/>
        </w:rPr>
        <w:t>1.1.4生活垃圾分类处理</w:t>
      </w:r>
      <w:bookmarkEnd w:id="107"/>
      <w:bookmarkEnd w:id="108"/>
      <w:bookmarkEnd w:id="109"/>
      <w:r>
        <w:rPr>
          <w:rFonts w:hint="eastAsia" w:ascii="仿宋_GB2312" w:hAnsi="仿宋_GB2312" w:eastAsia="仿宋_GB2312" w:cs="仿宋_GB2312"/>
          <w:sz w:val="32"/>
          <w:szCs w:val="32"/>
        </w:rPr>
        <w:t>工艺流程</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分类投放、分类收集、分类运输、分类处理</w:t>
      </w:r>
    </w:p>
    <w:p>
      <w:pPr>
        <w:pStyle w:val="21"/>
        <w:spacing w:before="0" w:line="578" w:lineRule="exact"/>
        <w:ind w:firstLine="640" w:firstLineChars="200"/>
        <w:rPr>
          <w:rFonts w:ascii="仿宋_GB2312" w:hAnsi="仿宋_GB2312" w:eastAsia="仿宋_GB2312" w:cs="仿宋_GB2312"/>
          <w:sz w:val="32"/>
          <w:szCs w:val="32"/>
        </w:rPr>
      </w:pPr>
      <w:bookmarkStart w:id="110" w:name="_Toc30263_WPSOffice_Level3"/>
      <w:bookmarkStart w:id="111" w:name="_Toc2_WPSOffice_Level3"/>
      <w:bookmarkStart w:id="112" w:name="_Toc9603_WPSOffice_Level3"/>
      <w:r>
        <w:rPr>
          <w:rFonts w:hint="eastAsia" w:ascii="仿宋_GB2312" w:hAnsi="仿宋_GB2312" w:eastAsia="仿宋_GB2312" w:cs="仿宋_GB2312"/>
          <w:sz w:val="32"/>
          <w:szCs w:val="32"/>
        </w:rPr>
        <w:t>1.1.5工程规模</w:t>
      </w:r>
      <w:bookmarkEnd w:id="110"/>
      <w:bookmarkEnd w:id="111"/>
      <w:bookmarkEnd w:id="112"/>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本项目工程规模：日均城市生活垃圾分类处理量350t/d，（未来20年城市垃圾产生量预测），其中餐厨垃圾日分类处理量45.96t/d。年均城市生活垃圾分类处理量12.19万吨/年，其中餐厨垃圾1.68万吨/年。</w:t>
      </w:r>
      <w:bookmarkStart w:id="113" w:name="_Toc112_WPSOffice_Level3"/>
      <w:r>
        <w:rPr>
          <w:rFonts w:hint="eastAsia" w:ascii="仿宋_GB2312" w:hAnsi="仿宋_GB2312" w:eastAsia="仿宋_GB2312" w:cs="仿宋_GB2312"/>
          <w:sz w:val="32"/>
          <w:szCs w:val="32"/>
        </w:rPr>
        <w:t>建设一座垃圾日处置能力为120T、年处理量为4.38万吨的综合型分拣中心。厂区拟建设规模约为5000㎡,总占地面积约12000㎡。分拣中心拟结合初期设置的办公、生活用房，扩建到含生产、分类展示、垃圾分类产品交易、物流等区域的规模，生活区与办公区相互隔离，距离满足安全防护要求。并规划设置建设原料区、分拣区、加工区、质检区、成品区、运输区及有毒有害临时存放区。</w:t>
      </w:r>
    </w:p>
    <w:p>
      <w:pPr>
        <w:pStyle w:val="21"/>
        <w:spacing w:before="0" w:line="578" w:lineRule="exact"/>
        <w:ind w:firstLine="640" w:firstLineChars="200"/>
        <w:rPr>
          <w:rFonts w:ascii="仿宋_GB2312" w:hAnsi="仿宋_GB2312" w:eastAsia="仿宋_GB2312" w:cs="仿宋_GB2312"/>
          <w:sz w:val="32"/>
          <w:szCs w:val="32"/>
        </w:rPr>
      </w:pPr>
      <w:bookmarkStart w:id="114" w:name="_Toc5346_WPSOffice_Level3"/>
      <w:bookmarkStart w:id="115" w:name="_Toc2489_WPSOffice_Level3"/>
      <w:r>
        <w:rPr>
          <w:rFonts w:hint="eastAsia" w:ascii="仿宋_GB2312" w:hAnsi="仿宋_GB2312" w:eastAsia="仿宋_GB2312" w:cs="仿宋_GB2312"/>
          <w:sz w:val="32"/>
          <w:szCs w:val="32"/>
        </w:rPr>
        <w:t>1.1.6建设内容</w:t>
      </w:r>
      <w:bookmarkEnd w:id="113"/>
      <w:bookmarkEnd w:id="114"/>
      <w:bookmarkEnd w:id="115"/>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通过初期对嘉峪关市三个行政区（小区共9.5万户、1029家企事业单位、89所学校、医院及诊所生活垃圾，日均产生量为218吨）的城市生活垃圾进行分类投放、收集、运输、处理的实施，并配套建设分拣中心，包含办公、生活用房，生产、分类展示、垃圾分类产品交易、物流等区域，达到无害化、减量化、资源化的处理目标。</w:t>
      </w:r>
    </w:p>
    <w:p>
      <w:pPr>
        <w:pStyle w:val="21"/>
        <w:spacing w:before="0" w:line="578" w:lineRule="exact"/>
        <w:ind w:firstLine="640" w:firstLineChars="200"/>
        <w:rPr>
          <w:rFonts w:ascii="仿宋_GB2312" w:hAnsi="仿宋_GB2312" w:eastAsia="仿宋_GB2312" w:cs="仿宋_GB2312"/>
          <w:sz w:val="32"/>
          <w:szCs w:val="32"/>
        </w:rPr>
      </w:pPr>
      <w:bookmarkStart w:id="116" w:name="_Toc26304_WPSOffice_Level3"/>
      <w:bookmarkStart w:id="117" w:name="_Toc22553_WPSOffice_Level3"/>
      <w:bookmarkStart w:id="118" w:name="_Toc19553_WPSOffice_Level3"/>
      <w:r>
        <w:rPr>
          <w:rFonts w:hint="eastAsia" w:ascii="仿宋_GB2312" w:hAnsi="仿宋_GB2312" w:eastAsia="仿宋_GB2312" w:cs="仿宋_GB2312"/>
          <w:sz w:val="32"/>
          <w:szCs w:val="32"/>
        </w:rPr>
        <w:t>1.1.7分拣中心项目选址及占地面积</w:t>
      </w:r>
      <w:bookmarkEnd w:id="116"/>
      <w:bookmarkEnd w:id="117"/>
      <w:bookmarkEnd w:id="118"/>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分拣中心选址位于嘉峪关市创业大道以南，东经二路以西，占地面积约12000㎡。</w:t>
      </w:r>
      <w:bookmarkStart w:id="119" w:name="_Toc30292_WPSOffice_Level3"/>
      <w:bookmarkStart w:id="120" w:name="_Toc25023_WPSOffice_Level3"/>
    </w:p>
    <w:p>
      <w:pPr>
        <w:pStyle w:val="21"/>
        <w:spacing w:before="0" w:line="578" w:lineRule="exact"/>
        <w:ind w:firstLine="640" w:firstLineChars="200"/>
        <w:rPr>
          <w:rFonts w:ascii="仿宋_GB2312" w:hAnsi="仿宋_GB2312" w:eastAsia="仿宋_GB2312" w:cs="仿宋_GB2312"/>
          <w:sz w:val="32"/>
          <w:szCs w:val="32"/>
        </w:rPr>
      </w:pPr>
      <w:bookmarkStart w:id="121" w:name="_Toc17110_WPSOffice_Level3"/>
      <w:r>
        <w:rPr>
          <w:rFonts w:hint="eastAsia" w:ascii="仿宋_GB2312" w:hAnsi="仿宋_GB2312" w:eastAsia="仿宋_GB2312" w:cs="仿宋_GB2312"/>
          <w:sz w:val="32"/>
          <w:szCs w:val="32"/>
        </w:rPr>
        <w:t>1.1.8项目投资及估算</w:t>
      </w:r>
      <w:bookmarkEnd w:id="119"/>
      <w:bookmarkEnd w:id="120"/>
      <w:bookmarkEnd w:id="121"/>
    </w:p>
    <w:p>
      <w:pPr>
        <w:spacing w:line="578" w:lineRule="exact"/>
        <w:ind w:firstLine="640" w:firstLineChars="200"/>
        <w:rPr>
          <w:rFonts w:ascii="仿宋_GB2312" w:hAnsi="仿宋_GB2312" w:eastAsia="仿宋_GB2312" w:cs="仿宋_GB2312"/>
          <w:sz w:val="32"/>
          <w:szCs w:val="32"/>
        </w:rPr>
      </w:pPr>
      <w:bookmarkStart w:id="122" w:name="_Toc30751_WPSOffice_Level3"/>
      <w:bookmarkStart w:id="123" w:name="_Toc9044_WPSOffice_Level3"/>
      <w:r>
        <w:rPr>
          <w:rFonts w:hint="eastAsia" w:ascii="仿宋_GB2312" w:hAnsi="仿宋_GB2312" w:eastAsia="仿宋_GB2312" w:cs="仿宋_GB2312"/>
          <w:sz w:val="32"/>
          <w:szCs w:val="32"/>
        </w:rPr>
        <w:t>本拟建项目估算投资总额为6687.18万元，其中：工程费用4429.26万元（智能垃圾分类设备费用2350.59万元，分拣中心工程费用2078.67万元），工程建设其他费268.71万元，基本预备费130.96万元。项目实施运营及人工费用1858.25万元。</w:t>
      </w:r>
    </w:p>
    <w:p>
      <w:pPr>
        <w:pStyle w:val="21"/>
        <w:spacing w:before="0" w:line="578" w:lineRule="exact"/>
        <w:ind w:firstLine="640" w:firstLineChars="200"/>
        <w:rPr>
          <w:rFonts w:ascii="仿宋_GB2312" w:hAnsi="仿宋_GB2312" w:eastAsia="仿宋_GB2312" w:cs="仿宋_GB2312"/>
          <w:sz w:val="32"/>
          <w:szCs w:val="32"/>
        </w:rPr>
      </w:pPr>
      <w:bookmarkStart w:id="124" w:name="_Toc28676_WPSOffice_Level3"/>
      <w:r>
        <w:rPr>
          <w:rFonts w:hint="eastAsia" w:ascii="仿宋_GB2312" w:hAnsi="仿宋_GB2312" w:eastAsia="仿宋_GB2312" w:cs="仿宋_GB2312"/>
          <w:sz w:val="32"/>
          <w:szCs w:val="32"/>
        </w:rPr>
        <w:t>1.1.9资金筹措</w:t>
      </w:r>
      <w:bookmarkEnd w:id="122"/>
      <w:bookmarkEnd w:id="123"/>
      <w:bookmarkEnd w:id="124"/>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项目资金来源：通过争取中央预算内资金1000万元，地方财政融资3000万元，其他多渠道筹措资金2687.18万元（这部分主要指废钢铁、纸张、塑料等可回收利用垃圾，积极吸收社会资本投入，参与垃圾分类建设）。</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该项目分三年实施，2019年完成固定资产投资1000万元，2020年完成固定资产投资3000万元，2021年完成固定资产投资2687.18万元。</w:t>
      </w:r>
    </w:p>
    <w:p>
      <w:pPr>
        <w:pStyle w:val="4"/>
        <w:spacing w:before="0" w:after="0" w:line="360" w:lineRule="auto"/>
        <w:ind w:firstLine="640" w:firstLineChars="200"/>
        <w:rPr>
          <w:rFonts w:ascii="黑体" w:hAnsi="黑体" w:cs="黑体"/>
          <w:b w:val="0"/>
          <w:bCs/>
        </w:rPr>
      </w:pPr>
      <w:bookmarkStart w:id="125" w:name="_Toc32291_WPSOffice_Level2"/>
      <w:bookmarkStart w:id="126" w:name="_Toc21767_WPSOffice_Level2"/>
      <w:bookmarkStart w:id="127" w:name="_Toc32638_WPSOffice_Level2"/>
      <w:bookmarkStart w:id="128" w:name="_Toc13728_WPSOffice_Level2"/>
      <w:bookmarkStart w:id="129" w:name="_Toc1185_WPSOffice_Level2"/>
      <w:bookmarkStart w:id="130" w:name="_Toc465_WPSOffice_Level2"/>
      <w:bookmarkStart w:id="131" w:name="_Toc8090_WPSOffice_Level2"/>
      <w:r>
        <w:rPr>
          <w:rFonts w:hint="eastAsia" w:ascii="黑体" w:hAnsi="黑体" w:cs="黑体"/>
          <w:b w:val="0"/>
          <w:bCs/>
        </w:rPr>
        <w:t>1.2 编制依据</w:t>
      </w:r>
      <w:bookmarkEnd w:id="125"/>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1.2.1《“十三五”全国城镇生活垃圾无害化处理设施建设规划》发改环资〔2016〕2851号；</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1.2.2《城市生活垃圾管理办法》建设部令第157号；</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1.2.3《中华人民共和国环境保护法》中华人民共和国主席令第九号；</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1.2.4《中华人民共和国大气污染防治法》；</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1.2.5《中华人民共和国固体废物污染环境防治法》；</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1.2.6《城市市容和环境卫生管理条例》中华人民共和国国务院令第101号；</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1.2.7国务院办公厅《关于转发国家发展改革委住房城乡建设部生活垃圾分类制度实施方案的通知》（国办发〔2017〕26号）；</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1.2.8甘肃省人民政府办公厅《甘肃省城市生活垃圾分类制度实施方案》（甘政办发〔2017〕176号）；</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1.2.9嘉峪关市人民政府办公室《嘉峪关市城市生活垃圾分类制度实施方案》（嘉政办发〔2018〕233号）；</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1.2.10</w:t>
      </w:r>
      <w:r>
        <w:rPr>
          <w:rFonts w:ascii="仿宋_GB2312" w:hAnsi="仿宋_GB2312" w:eastAsia="仿宋_GB2312" w:cs="仿宋_GB2312"/>
          <w:sz w:val="32"/>
          <w:szCs w:val="32"/>
        </w:rPr>
        <w:t>国家发展与改革委员会2006年审核批准</w:t>
      </w:r>
      <w:r>
        <w:rPr>
          <w:rFonts w:hint="eastAsia" w:ascii="仿宋_GB2312" w:hAnsi="仿宋_GB2312" w:eastAsia="仿宋_GB2312" w:cs="仿宋_GB2312"/>
          <w:sz w:val="32"/>
          <w:szCs w:val="32"/>
        </w:rPr>
        <w:t>实</w:t>
      </w:r>
      <w:r>
        <w:rPr>
          <w:rFonts w:ascii="仿宋_GB2312" w:hAnsi="仿宋_GB2312" w:eastAsia="仿宋_GB2312" w:cs="仿宋_GB2312"/>
          <w:sz w:val="32"/>
          <w:szCs w:val="32"/>
        </w:rPr>
        <w:t>行《建设项目经济评价方法与参数（第三版）》；</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1.2.11其他有关资料。</w:t>
      </w:r>
    </w:p>
    <w:p>
      <w:pPr>
        <w:pStyle w:val="4"/>
        <w:spacing w:before="0" w:after="0" w:line="360" w:lineRule="auto"/>
        <w:ind w:firstLine="640" w:firstLineChars="200"/>
        <w:rPr>
          <w:rFonts w:ascii="黑体" w:hAnsi="黑体" w:cs="黑体"/>
          <w:b w:val="0"/>
          <w:bCs/>
        </w:rPr>
      </w:pPr>
      <w:bookmarkStart w:id="132" w:name="_Toc27247_WPSOffice_Level2"/>
      <w:r>
        <w:rPr>
          <w:rFonts w:hint="eastAsia" w:ascii="黑体" w:hAnsi="黑体" w:cs="黑体"/>
          <w:b w:val="0"/>
          <w:bCs/>
        </w:rPr>
        <w:t>1.3编制原则</w:t>
      </w:r>
      <w:bookmarkEnd w:id="132"/>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认真贯彻国家关于环境保护工作的方针和政策，符合国家的有关法律、法规、规范和标准的规定。</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结合当地现有垃圾收集和处理条件，从实际出发，提出经济实用、技术成熟，易于操作管理的生活垃圾收运系统方案，方案在满足环境要求的情况下，应达到各项卫生标准，费用合理，有助于降低后续处理阶段的费用。</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加强垃圾收运系统建设中的环境保护，在工艺流程设计时，要求所选的工艺，在垃圾的压装、转运过程中和压装、收运后不得污染大气、土壤和水体等。</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对周围环境不应产生影响或对周围环境不超过国家相关现行标准的规定，应与当地的大气防护、水土资源保护、大自然保护及生态平衡要求相一致。</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有一定的社会效益、环境效益和生态效益。</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城市生活垃圾系统设计应达到无害化、减量化和资源化的最终目的。</w:t>
      </w:r>
    </w:p>
    <w:p>
      <w:pPr>
        <w:pStyle w:val="4"/>
        <w:spacing w:before="0" w:after="0" w:line="360" w:lineRule="auto"/>
        <w:ind w:firstLine="640" w:firstLineChars="200"/>
        <w:rPr>
          <w:rFonts w:ascii="黑体" w:hAnsi="黑体" w:cs="黑体"/>
          <w:b w:val="0"/>
          <w:bCs/>
        </w:rPr>
      </w:pPr>
      <w:bookmarkStart w:id="133" w:name="_Toc2320_WPSOffice_Level2"/>
      <w:r>
        <w:rPr>
          <w:rFonts w:hint="eastAsia" w:ascii="黑体" w:hAnsi="黑体" w:cs="黑体"/>
          <w:b w:val="0"/>
          <w:bCs/>
        </w:rPr>
        <w:t>1.4编制范围</w:t>
      </w:r>
      <w:bookmarkEnd w:id="133"/>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根据嘉峪关市环境卫生管理局委托，本可行性研究报告将结合嘉峪关市环境卫生和发展和环境设施建设，对嘉峪关市城市生活垃圾分类处理项目的建设规模、必要性等进行全面阐述，对技术先进、经济合理且符合实际情况的收运工艺技术方案进行论证，进行工程投资估算、经济分析，并对整个工程进行可行性论证。</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故本工程的建设应在有效提高嘉峪关市环卫水平的基础上尽量节约资源、减少投资，做到经济合理。</w:t>
      </w:r>
    </w:p>
    <w:p>
      <w:pPr>
        <w:pStyle w:val="4"/>
        <w:spacing w:before="0" w:after="0" w:line="360" w:lineRule="auto"/>
        <w:ind w:firstLine="640" w:firstLineChars="200"/>
        <w:rPr>
          <w:rFonts w:ascii="黑体" w:hAnsi="黑体"/>
          <w:b w:val="0"/>
          <w:bCs/>
          <w:szCs w:val="32"/>
        </w:rPr>
      </w:pPr>
      <w:bookmarkStart w:id="134" w:name="_Toc1522_WPSOffice_Level2"/>
      <w:bookmarkStart w:id="135" w:name="_Toc9112_WPSOffice_Level2"/>
      <w:bookmarkStart w:id="136" w:name="_Toc3412_WPSOffice_Level2"/>
      <w:bookmarkStart w:id="137" w:name="_Toc375_WPSOffice_Level2"/>
      <w:bookmarkStart w:id="138" w:name="_Toc14131_WPSOffice_Level2"/>
      <w:bookmarkStart w:id="139" w:name="_Toc26377_WPSOffice_Level2"/>
      <w:bookmarkStart w:id="140" w:name="_Toc27411_WPSOffice_Level2"/>
      <w:r>
        <w:rPr>
          <w:rFonts w:hint="eastAsia" w:ascii="黑体" w:hAnsi="黑体"/>
          <w:b w:val="0"/>
          <w:bCs/>
          <w:szCs w:val="32"/>
        </w:rPr>
        <w:t>1.5项目研究结论</w:t>
      </w:r>
      <w:bookmarkEnd w:id="134"/>
      <w:r>
        <w:rPr>
          <w:rFonts w:hint="eastAsia" w:ascii="黑体" w:hAnsi="黑体"/>
          <w:b w:val="0"/>
          <w:bCs/>
          <w:szCs w:val="32"/>
        </w:rPr>
        <w:t>与建议</w:t>
      </w:r>
      <w:bookmarkEnd w:id="135"/>
      <w:bookmarkEnd w:id="136"/>
      <w:bookmarkEnd w:id="137"/>
      <w:bookmarkEnd w:id="138"/>
      <w:bookmarkEnd w:id="139"/>
      <w:bookmarkEnd w:id="140"/>
    </w:p>
    <w:p>
      <w:pPr>
        <w:pStyle w:val="21"/>
        <w:spacing w:before="0" w:line="578" w:lineRule="exact"/>
        <w:ind w:firstLine="640" w:firstLineChars="200"/>
        <w:rPr>
          <w:rFonts w:ascii="仿宋_GB2312" w:hAnsi="仿宋_GB2312" w:eastAsia="仿宋_GB2312" w:cs="仿宋_GB2312"/>
          <w:sz w:val="32"/>
          <w:szCs w:val="32"/>
        </w:rPr>
      </w:pPr>
      <w:bookmarkStart w:id="141" w:name="_Toc548_WPSOffice_Level3"/>
      <w:bookmarkStart w:id="142" w:name="_Toc21366_WPSOffice_Level3"/>
      <w:bookmarkStart w:id="143" w:name="_Toc24209_WPSOffice_Level3"/>
      <w:bookmarkStart w:id="144" w:name="_Toc28482_WPSOffice_Level3"/>
      <w:bookmarkStart w:id="145" w:name="_Toc24374_WPSOffice_Level3"/>
      <w:bookmarkStart w:id="146" w:name="_Toc16553_WPSOffice_Level3"/>
      <w:bookmarkStart w:id="147" w:name="_Toc29732_WPSOffice_Level3"/>
      <w:bookmarkStart w:id="148" w:name="_Toc4949_WPSOffice_Level3"/>
      <w:r>
        <w:rPr>
          <w:rFonts w:hint="eastAsia" w:ascii="仿宋_GB2312" w:hAnsi="仿宋_GB2312" w:eastAsia="仿宋_GB2312" w:cs="仿宋_GB2312"/>
          <w:sz w:val="32"/>
          <w:szCs w:val="32"/>
        </w:rPr>
        <w:t>1.5.1结论</w:t>
      </w:r>
      <w:bookmarkEnd w:id="141"/>
      <w:bookmarkEnd w:id="142"/>
      <w:bookmarkEnd w:id="143"/>
      <w:bookmarkEnd w:id="144"/>
      <w:bookmarkEnd w:id="145"/>
      <w:bookmarkEnd w:id="146"/>
      <w:bookmarkEnd w:id="147"/>
      <w:bookmarkEnd w:id="148"/>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通过实施嘉峪关城市生活垃圾分类试点项目，对垃圾进行无害化处理，最终达到零排放，垃圾分类收集能减少环境污染，促进资源循环利用；提高垃圾分类收集的经济和环境效益；减少垃圾处置成本，提高垃圾处理效率；因此，嘉峪关城市生活垃圾分类试点项目的实施是积极可行的。</w:t>
      </w:r>
    </w:p>
    <w:p>
      <w:pPr>
        <w:pStyle w:val="21"/>
        <w:spacing w:before="0" w:line="578" w:lineRule="exact"/>
        <w:ind w:firstLine="640" w:firstLineChars="200"/>
        <w:rPr>
          <w:rFonts w:ascii="仿宋_GB2312" w:hAnsi="仿宋_GB2312" w:eastAsia="仿宋_GB2312" w:cs="仿宋_GB2312"/>
          <w:sz w:val="32"/>
          <w:szCs w:val="32"/>
        </w:rPr>
      </w:pPr>
      <w:bookmarkStart w:id="149" w:name="_Toc14206_WPSOffice_Level3"/>
      <w:bookmarkStart w:id="150" w:name="_Toc22630_WPSOffice_Level3"/>
      <w:bookmarkStart w:id="151" w:name="_Toc237_WPSOffice_Level3"/>
      <w:bookmarkStart w:id="152" w:name="_Toc6982_WPSOffice_Level3"/>
      <w:bookmarkStart w:id="153" w:name="_Toc22685_WPSOffice_Level3"/>
      <w:bookmarkStart w:id="154" w:name="_Toc31934_WPSOffice_Level3"/>
      <w:bookmarkStart w:id="155" w:name="_Toc28123_WPSOffice_Level3"/>
      <w:bookmarkStart w:id="156" w:name="_Toc341_WPSOffice_Level3"/>
      <w:r>
        <w:rPr>
          <w:rFonts w:hint="eastAsia" w:ascii="仿宋_GB2312" w:hAnsi="仿宋_GB2312" w:eastAsia="仿宋_GB2312" w:cs="仿宋_GB2312"/>
          <w:sz w:val="32"/>
          <w:szCs w:val="32"/>
        </w:rPr>
        <w:t>1.5.2建议</w:t>
      </w:r>
      <w:bookmarkEnd w:id="149"/>
      <w:bookmarkEnd w:id="150"/>
      <w:bookmarkEnd w:id="151"/>
      <w:bookmarkEnd w:id="152"/>
      <w:bookmarkEnd w:id="153"/>
      <w:bookmarkEnd w:id="154"/>
      <w:bookmarkEnd w:id="155"/>
      <w:bookmarkEnd w:id="156"/>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（1）加强领导，政府统筹；</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（2）建立合适的垃圾分类标准、方法和方式；</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（3）分区、分步推广落实垃圾分类；</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（4）扶持垃圾分类处理企业，加快产业化发展；</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（5）建立制度化的长效机制，激励市民参与；</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（6）加强末端管理，为分类提高科学效率。</w:t>
      </w: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rPr>
          <w:rFonts w:ascii="仿宋_GB2312" w:hAnsi="仿宋_GB2312" w:eastAsia="仿宋_GB2312" w:cs="仿宋_GB2312"/>
          <w:sz w:val="32"/>
          <w:szCs w:val="32"/>
        </w:rPr>
      </w:pPr>
    </w:p>
    <w:p>
      <w:pPr>
        <w:pStyle w:val="21"/>
        <w:ind w:firstLine="822"/>
        <w:rPr>
          <w:rFonts w:ascii="仿宋_GB2312" w:hAnsi="仿宋_GB2312" w:eastAsia="仿宋_GB2312" w:cs="仿宋_GB2312"/>
          <w:sz w:val="32"/>
          <w:szCs w:val="32"/>
        </w:rPr>
      </w:pPr>
    </w:p>
    <w:p>
      <w:pPr>
        <w:rPr>
          <w:rFonts w:ascii="仿宋_GB2312" w:hAnsi="仿宋_GB2312" w:eastAsia="仿宋_GB2312" w:cs="仿宋_GB2312"/>
          <w:sz w:val="32"/>
          <w:szCs w:val="32"/>
        </w:rPr>
      </w:pPr>
    </w:p>
    <w:p>
      <w:pPr>
        <w:pStyle w:val="21"/>
        <w:ind w:firstLine="822"/>
        <w:rPr>
          <w:rFonts w:ascii="仿宋_GB2312" w:hAnsi="仿宋_GB2312" w:eastAsia="仿宋_GB2312" w:cs="仿宋_GB2312"/>
          <w:sz w:val="32"/>
          <w:szCs w:val="32"/>
        </w:rPr>
      </w:pPr>
    </w:p>
    <w:p>
      <w:pPr>
        <w:rPr>
          <w:rFonts w:ascii="仿宋_GB2312" w:hAnsi="仿宋_GB2312" w:eastAsia="仿宋_GB2312" w:cs="仿宋_GB2312"/>
          <w:sz w:val="32"/>
          <w:szCs w:val="32"/>
        </w:rPr>
      </w:pPr>
    </w:p>
    <w:p>
      <w:pPr>
        <w:pStyle w:val="21"/>
        <w:ind w:firstLine="822"/>
        <w:rPr>
          <w:rFonts w:ascii="仿宋_GB2312" w:hAnsi="仿宋_GB2312" w:eastAsia="仿宋_GB2312" w:cs="仿宋_GB2312"/>
          <w:sz w:val="32"/>
          <w:szCs w:val="32"/>
        </w:rPr>
      </w:pPr>
    </w:p>
    <w:p>
      <w:pPr>
        <w:rPr>
          <w:rFonts w:ascii="仿宋_GB2312" w:hAnsi="仿宋_GB2312" w:eastAsia="仿宋_GB2312" w:cs="仿宋_GB2312"/>
          <w:sz w:val="32"/>
          <w:szCs w:val="32"/>
        </w:rPr>
      </w:pPr>
    </w:p>
    <w:p>
      <w:pPr>
        <w:pStyle w:val="3"/>
        <w:spacing w:beforeLines="100" w:afterLines="100" w:line="578" w:lineRule="exact"/>
        <w:jc w:val="center"/>
        <w:rPr>
          <w:rFonts w:ascii="宋体" w:hAnsi="宋体" w:eastAsia="宋体" w:cs="宋体"/>
          <w:sz w:val="36"/>
          <w:szCs w:val="36"/>
        </w:rPr>
      </w:pPr>
      <w:bookmarkStart w:id="157" w:name="_Toc2489_WPSOffice_Level1"/>
      <w:r>
        <w:rPr>
          <w:rFonts w:hint="eastAsia" w:ascii="宋体" w:hAnsi="宋体" w:eastAsia="宋体" w:cs="宋体"/>
          <w:sz w:val="36"/>
          <w:szCs w:val="36"/>
        </w:rPr>
        <w:t>第二章  项目背景</w:t>
      </w:r>
      <w:bookmarkEnd w:id="126"/>
      <w:bookmarkEnd w:id="127"/>
      <w:bookmarkEnd w:id="128"/>
      <w:bookmarkEnd w:id="129"/>
      <w:bookmarkEnd w:id="130"/>
      <w:bookmarkEnd w:id="131"/>
      <w:r>
        <w:rPr>
          <w:rFonts w:hint="eastAsia" w:ascii="宋体" w:hAnsi="宋体" w:eastAsia="宋体" w:cs="宋体"/>
          <w:sz w:val="36"/>
          <w:szCs w:val="36"/>
        </w:rPr>
        <w:t>及必要性</w:t>
      </w:r>
      <w:bookmarkEnd w:id="157"/>
      <w:r>
        <w:rPr>
          <w:rFonts w:hint="eastAsia" w:ascii="宋体" w:hAnsi="宋体" w:eastAsia="宋体" w:cs="宋体"/>
          <w:sz w:val="36"/>
          <w:szCs w:val="36"/>
        </w:rPr>
        <w:t xml:space="preserve"> </w:t>
      </w:r>
    </w:p>
    <w:p>
      <w:pPr>
        <w:pStyle w:val="4"/>
        <w:spacing w:before="0" w:after="0" w:line="360" w:lineRule="auto"/>
        <w:ind w:firstLine="640" w:firstLineChars="200"/>
        <w:rPr>
          <w:rFonts w:ascii="黑体" w:hAnsi="黑体"/>
          <w:b w:val="0"/>
          <w:bCs/>
          <w:szCs w:val="32"/>
        </w:rPr>
      </w:pPr>
      <w:bookmarkStart w:id="158" w:name="_Toc2_WPSOffice_Level2"/>
      <w:bookmarkStart w:id="159" w:name="_Toc25504_WPSOffice_Level3"/>
      <w:bookmarkStart w:id="160" w:name="_Toc19282_WPSOffice_Level3"/>
      <w:bookmarkStart w:id="161" w:name="_Toc14643_WPSOffice_Level3"/>
      <w:bookmarkStart w:id="162" w:name="_Toc28439_WPSOffice_Level3"/>
      <w:bookmarkStart w:id="163" w:name="_Toc23296_WPSOffice_Level3"/>
      <w:r>
        <w:rPr>
          <w:rFonts w:hint="eastAsia" w:ascii="黑体" w:hAnsi="黑体"/>
          <w:b w:val="0"/>
          <w:bCs/>
          <w:szCs w:val="32"/>
        </w:rPr>
        <w:t>2.1项目背景</w:t>
      </w:r>
      <w:bookmarkEnd w:id="158"/>
    </w:p>
    <w:p>
      <w:pPr>
        <w:pStyle w:val="21"/>
        <w:spacing w:before="0" w:line="578" w:lineRule="exact"/>
        <w:ind w:firstLine="640" w:firstLineChars="200"/>
        <w:rPr>
          <w:rFonts w:ascii="仿宋_GB2312" w:hAnsi="仿宋_GB2312" w:eastAsia="仿宋_GB2312" w:cs="仿宋_GB2312"/>
          <w:sz w:val="32"/>
          <w:szCs w:val="32"/>
        </w:rPr>
      </w:pPr>
      <w:bookmarkStart w:id="164" w:name="_Toc17464_WPSOffice_Level3"/>
      <w:bookmarkStart w:id="165" w:name="_Toc19181_WPSOffice_Level3"/>
      <w:bookmarkStart w:id="166" w:name="_Toc5755_WPSOffice_Level3"/>
      <w:r>
        <w:rPr>
          <w:rFonts w:hint="eastAsia" w:ascii="仿宋_GB2312" w:hAnsi="仿宋_GB2312" w:eastAsia="仿宋_GB2312" w:cs="仿宋_GB2312"/>
          <w:sz w:val="32"/>
          <w:szCs w:val="32"/>
        </w:rPr>
        <w:t>2.1.1项目的提出</w:t>
      </w:r>
      <w:bookmarkEnd w:id="159"/>
      <w:bookmarkEnd w:id="160"/>
      <w:bookmarkEnd w:id="161"/>
      <w:bookmarkEnd w:id="162"/>
      <w:bookmarkEnd w:id="163"/>
      <w:bookmarkEnd w:id="164"/>
      <w:bookmarkEnd w:id="165"/>
      <w:bookmarkEnd w:id="166"/>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中共中央总书记、国家主席、中央军委主席、中央财经领导小组组长习近平2016年12月21日下午主持召开中央财经领导小组第十四次会议，研究“十三五”规划纲要确定的165项重大工程项目进展和解决好人民群众普遍关心的突出问题等工作。会议中指明“普遍推行垃圾分类制度，关系13亿多人生活环境改善”的方向，明确提出“形成以法治为基础、政府推动、全民参与、城乡统筹、因地制宜的垃圾分类制度”。</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根据党中央、国务院有关工作部署，2017年3月18日国务院办公厅《国办发〔2017〕26号》转发国家发展改革委、住房城乡建设部《生活垃圾分类制度实施方案》，要求各省、自治区、直辖市人民政府，国务院各部委、各直属机构须认真贯彻执行。</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甘肃省人民政府办公厅《甘肃省城市生活垃圾分类制度实施方案》（甘政办发〔2017〕176号）要求和全省全域无垃圾现场推进会议精神，嘉峪关市人民政府办公室《嘉峪关市城市生活垃圾分类制度实施方案》（嘉政办发〔2018〕233号）的通知，建立分类投放、分类收集、分类运输、分类处理的垃圾处理系统，实现环境效益、社会效益和经济效益同步发展。</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为了落实建立分类投放、分类收集、分类运输、分类处理的垃圾处理系统，实现环境效益、社会效益和经济效益同步发展。甘肃省政府和嘉峪关市政府有关部门深入学习贯彻习近平总书记的重要批示精神，多次召开领导干部专题会议，传达中央整改精神，统一思想，提高认识，靠实责任，制定整改实施方案。</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因此，嘉峪关市政府要求，到2020年底，城区范围内全部实行生活垃圾强制分类，基本建立垃圾相关分类制度，生活垃圾回收利用率达到35%以上，垃圾分类治理，全民参与的氛围基本形成。</w:t>
      </w:r>
    </w:p>
    <w:p>
      <w:pPr>
        <w:pStyle w:val="21"/>
        <w:spacing w:before="0" w:line="578" w:lineRule="exact"/>
        <w:ind w:firstLine="640" w:firstLineChars="200"/>
        <w:rPr>
          <w:rFonts w:ascii="仿宋_GB2312" w:hAnsi="仿宋_GB2312" w:eastAsia="仿宋_GB2312" w:cs="仿宋_GB2312"/>
          <w:sz w:val="32"/>
          <w:szCs w:val="32"/>
        </w:rPr>
      </w:pPr>
      <w:bookmarkStart w:id="167" w:name="_Toc11173_WPSOffice_Level3"/>
      <w:bookmarkStart w:id="168" w:name="_Toc7465_WPSOffice_Level3"/>
      <w:bookmarkStart w:id="169" w:name="_Toc29106_WPSOffice_Level3"/>
      <w:bookmarkStart w:id="170" w:name="_Toc20095_WPSOffice_Level3"/>
      <w:bookmarkStart w:id="171" w:name="_Toc27411_WPSOffice_Level3"/>
      <w:bookmarkStart w:id="172" w:name="_Toc14131_WPSOffice_Level3"/>
      <w:bookmarkStart w:id="173" w:name="_Toc375_WPSOffice_Level3"/>
      <w:bookmarkStart w:id="174" w:name="_Toc9281_WPSOffice_Level3"/>
      <w:r>
        <w:rPr>
          <w:rFonts w:hint="eastAsia" w:ascii="仿宋_GB2312" w:hAnsi="仿宋_GB2312" w:eastAsia="仿宋_GB2312" w:cs="仿宋_GB2312"/>
          <w:sz w:val="32"/>
          <w:szCs w:val="32"/>
        </w:rPr>
        <w:t>2.1.2嘉峪关市目前现状</w:t>
      </w:r>
      <w:bookmarkEnd w:id="167"/>
      <w:bookmarkEnd w:id="168"/>
      <w:bookmarkEnd w:id="169"/>
      <w:bookmarkEnd w:id="170"/>
      <w:bookmarkEnd w:id="171"/>
      <w:bookmarkEnd w:id="172"/>
      <w:bookmarkEnd w:id="173"/>
      <w:bookmarkEnd w:id="174"/>
    </w:p>
    <w:p>
      <w:pPr>
        <w:pStyle w:val="21"/>
        <w:spacing w:before="0" w:line="578" w:lineRule="exact"/>
        <w:ind w:firstLine="640" w:firstLineChars="200"/>
        <w:rPr>
          <w:rFonts w:ascii="仿宋_GB2312" w:hAnsi="仿宋_GB2312" w:eastAsia="仿宋_GB2312" w:cs="仿宋_GB2312"/>
          <w:sz w:val="32"/>
          <w:szCs w:val="32"/>
        </w:rPr>
      </w:pPr>
      <w:bookmarkStart w:id="175" w:name="_Toc164_WPSOffice_Level2"/>
      <w:r>
        <w:rPr>
          <w:rFonts w:hint="eastAsia" w:ascii="仿宋_GB2312" w:hAnsi="仿宋_GB2312" w:eastAsia="仿宋_GB2312" w:cs="仿宋_GB2312"/>
          <w:sz w:val="32"/>
          <w:szCs w:val="32"/>
        </w:rPr>
        <w:t>根据环卫局统计数据，嘉峪关市2018年全市生活垃圾产量为7.96万吨（其中餐厨垃圾约1.1万吨），日产量218吨。人均垃圾产生量为0.93千克/日，餐厨垃圾约占13.76%。日常倾倒的生活垃圾主要靠人工和微型收集车收集，统一集中后由垃圾运输车辆运至垃圾转运站，经压缩打包处理后送至填埋场进行无害化填埋处理。</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目前嘉峪关市城市生活垃圾主要以有机物和无机物为主，其中有机物占据32.3%，无机物占67.7%，但是无机物在逐年下降，有机物逐年增多。有机物主要以厨房剩余物（厨余）、园林绿化废弃物、废菜叶和纸质，还有少量的不纤维和竹木等。其中，厨余主要是市场菜、蛋壳、食物剩余物等；废菜叶主要是农村种植蔬菜分拣的菜皮、菜根以及蔬菜边角料等；纸类主要以日常家庭生活用纸居多，还有少量办公用纸和生产废纸；布纤维主要是生产用的废布、手套和废旧衣物；竹木类多为一次性卫生筷，其中新鲜垃圾含水率为17%。无机物主要以砂石、砖瓦为主，主要是煤灰、泥沙和装修、建筑垃圾；可回收废品中，玻璃以玻璃瓶居多；金属、塑料类以油漆桶、饮料瓶等包装容器为主。</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夏季随着天气变暖人们以烧烤啤酒为主要的聚餐方式，烧烤啤酒摊数量的增加，使啤酒瓶、饮料瓶、串签以及盛装菜肉的一次性塑料用品增加。并且大量的水果、蔬菜上市，秋末树叶枯枝凋落，伴随雨量的增加，果皮、腐烂的水果蔬菜、树叶等厨余垃圾含水量增加，厨余垃圾重量增加。而且由于温度较高，厨余垃圾很快腐烂发臭，造成恶臭环境。</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城市生活垃圾理化特质主要指其物理、化学特性。它的长期监测结果可以作为指导或决定生活垃圾处理的方法、处理工艺以及计算和预测填埋库区使用年限等。嘉峪关市垃圾量增加快，垃圾有机质含量低、燃值低，决定了垃圾处理只能采用卫生填埋方式，资源化、无害化、减量化水平难以提高。</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经初步调查，目前嘉峪关市缺少城市生活垃圾分类分拣系统，生活垃圾从投放、收集、运输到处理均未做到分类，日常生活垃圾主要靠人工和微型收集车收集，并使用果皮箱、垃圾斗等在居民生活社区或沿街定点存放（废电池等有毒有害垃圾也未经分类混合到生活垃圾里），统一集中后由垃圾运输车辆运至北市区垃圾转运站或垃圾处理场进行无害化填埋处理，目前只有餐饮企业的餐厨垃圾做到了由餐厨垃圾收集车统一收集。</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2018年嘉峪关市环境卫生实行政府购买服务后，城市生活垃圾收运、处置工作由嘉峪关桑德环境科技有限公司承担，为城市清扫、垃圾收运、垃圾处理等环卫作业提供设备支持，城市机械化清扫率达到80%。</w:t>
      </w:r>
    </w:p>
    <w:p>
      <w:pPr>
        <w:pStyle w:val="4"/>
        <w:spacing w:before="0" w:after="0" w:line="360" w:lineRule="auto"/>
        <w:ind w:firstLine="640" w:firstLineChars="200"/>
        <w:rPr>
          <w:rFonts w:ascii="黑体" w:hAnsi="黑体"/>
          <w:b w:val="0"/>
          <w:bCs/>
          <w:szCs w:val="32"/>
        </w:rPr>
      </w:pPr>
      <w:bookmarkStart w:id="176" w:name="_Toc2489_WPSOffice_Level2"/>
      <w:bookmarkStart w:id="177" w:name="_Toc11343_WPSOffice_Level2"/>
      <w:bookmarkStart w:id="178" w:name="_Toc17392_WPSOffice_Level2"/>
      <w:bookmarkStart w:id="179" w:name="_Toc5495_WPSOffice_Level2"/>
      <w:bookmarkStart w:id="180" w:name="_Toc25168_WPSOffice_Level2"/>
      <w:bookmarkStart w:id="181" w:name="_Toc10681_WPSOffice_Level2"/>
      <w:r>
        <w:rPr>
          <w:rFonts w:hint="eastAsia" w:ascii="黑体" w:hAnsi="黑体"/>
          <w:b w:val="0"/>
          <w:bCs/>
          <w:szCs w:val="32"/>
        </w:rPr>
        <w:t>2.2 项目建设的必要性</w:t>
      </w:r>
      <w:bookmarkEnd w:id="175"/>
      <w:bookmarkEnd w:id="176"/>
      <w:bookmarkEnd w:id="177"/>
      <w:bookmarkEnd w:id="178"/>
      <w:bookmarkEnd w:id="179"/>
      <w:bookmarkEnd w:id="180"/>
      <w:bookmarkEnd w:id="181"/>
      <w:r>
        <w:rPr>
          <w:rFonts w:hint="eastAsia" w:ascii="黑体" w:hAnsi="黑体"/>
          <w:b w:val="0"/>
          <w:bCs/>
          <w:szCs w:val="32"/>
        </w:rPr>
        <w:t xml:space="preserve"> </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的实施符合嘉峪关市实际需要，加快建立垃圾分类投放、分类收集、分类运输、分类处理的垃圾处理系统，形成以法治为基础、政府推动、全民参与、城乡统筹、因地制宜的垃圾分类制度，努力提高垃圾分类制度覆盖范围，对实现提升城市生活垃圾无害化处理水平，有效改善城乡环境质量，促进资源回收利用，提高全省新型城镇化质量和生态文明建设水平是十分重要和必要的。</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作为第五届全国文明城市之一，也是资源型和旅游型城市。为继续保持文明城市，促进资源回收利用，提高全市新型城镇化质量和生态文明建设水平，努力做好嘉峪关市垃圾分类减排试点工作。根据嘉峪关市环卫部门提供的资料得知，2018年全市生活垃圾产量为7.96万吨（其中餐厨垃圾约1.1万吨），日产量218吨。现状人均垃圾产生量为0.93千克/日，餐厨垃圾约占13.76%。目前嘉峪关市垃圾处理方式主要为填埋，填埋不但占用大量土地，而且还污染环境。因此从源头将垃圾分类投放，并通过分类的清运和回收使之重新变成资源。垃圾分类处理的优点如下：</w:t>
      </w:r>
    </w:p>
    <w:p>
      <w:pPr>
        <w:pStyle w:val="21"/>
        <w:spacing w:before="0" w:line="578" w:lineRule="exact"/>
        <w:ind w:firstLine="640" w:firstLineChars="200"/>
        <w:rPr>
          <w:rFonts w:ascii="仿宋_GB2312" w:hAnsi="仿宋_GB2312" w:eastAsia="仿宋_GB2312" w:cs="仿宋_GB2312"/>
          <w:sz w:val="32"/>
          <w:szCs w:val="32"/>
        </w:rPr>
      </w:pPr>
      <w:bookmarkStart w:id="182" w:name="_Toc10170_WPSOffice_Level3"/>
      <w:bookmarkStart w:id="183" w:name="_Toc31087_WPSOffice_Level3"/>
      <w:bookmarkStart w:id="184" w:name="_Toc27214_WPSOffice_Level3"/>
      <w:bookmarkStart w:id="185" w:name="_Toc14740_WPSOffice_Level3"/>
      <w:bookmarkStart w:id="186" w:name="_Toc5499_WPSOffice_Level3"/>
      <w:bookmarkStart w:id="187" w:name="_Toc21721_WPSOffice_Level3"/>
      <w:bookmarkStart w:id="188" w:name="_Toc18123_WPSOffice_Level3"/>
      <w:bookmarkStart w:id="189" w:name="_Toc15656_WPSOffice_Level3"/>
      <w:r>
        <w:rPr>
          <w:rFonts w:hint="eastAsia" w:ascii="仿宋_GB2312" w:hAnsi="仿宋_GB2312" w:eastAsia="仿宋_GB2312" w:cs="仿宋_GB2312"/>
          <w:sz w:val="32"/>
          <w:szCs w:val="32"/>
        </w:rPr>
        <w:t>（1）节约自然资源 </w:t>
      </w:r>
      <w:bookmarkEnd w:id="182"/>
      <w:bookmarkEnd w:id="183"/>
      <w:bookmarkEnd w:id="184"/>
      <w:bookmarkEnd w:id="185"/>
      <w:bookmarkEnd w:id="186"/>
      <w:bookmarkEnd w:id="187"/>
      <w:bookmarkEnd w:id="188"/>
      <w:bookmarkEnd w:id="189"/>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自然资源是人类赖以生存与发展的必要物质基础。改革开放后，我国国民经济飞速发展，城市化进程加快。然而经济的发展却付出了资源浪费严重，环境污染加剧的惨重代价，资源的稀缺已成为限制经济发展的重要因素。近年来，我国自然资源进口量扩大，原材料价格不断上涨正说明资源的短缺已成为制约我国国家安全的重要因素。 </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伴随着城市生活，自然而然就产生了生活垃圾。城市生活垃圾分类收集后，不同成分、性质的垃圾就可以分别采用不同的处理、处置方式，使城市生活垃圾这一“资源”变成真正的资源，为解决中国资源短缺，经济与环境的和谐发展做出巨大贡献。 </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因此我们必须改变传统的资源――产品――垃圾的发展模式，走资源――产品――资源的可持续发展道路，将城市生活垃圾从源头分类，然后收集，分类处理。 </w:t>
      </w:r>
    </w:p>
    <w:p>
      <w:pPr>
        <w:pStyle w:val="21"/>
        <w:spacing w:before="0" w:line="578" w:lineRule="exact"/>
        <w:ind w:firstLine="640" w:firstLineChars="200"/>
        <w:rPr>
          <w:rFonts w:ascii="仿宋_GB2312" w:hAnsi="仿宋_GB2312" w:eastAsia="仿宋_GB2312" w:cs="仿宋_GB2312"/>
          <w:sz w:val="32"/>
          <w:szCs w:val="32"/>
        </w:rPr>
      </w:pPr>
      <w:bookmarkStart w:id="190" w:name="_Toc5580_WPSOffice_Level3"/>
      <w:bookmarkStart w:id="191" w:name="_Toc17001_WPSOffice_Level3"/>
      <w:bookmarkStart w:id="192" w:name="_Toc24512_WPSOffice_Level3"/>
      <w:bookmarkStart w:id="193" w:name="_Toc15435_WPSOffice_Level3"/>
      <w:bookmarkStart w:id="194" w:name="_Toc9484_WPSOffice_Level3"/>
      <w:bookmarkStart w:id="195" w:name="_Toc25606_WPSOffice_Level3"/>
      <w:bookmarkStart w:id="196" w:name="_Toc9112_WPSOffice_Level3"/>
      <w:bookmarkStart w:id="197" w:name="_Toc29881_WPSOffice_Level3"/>
      <w:r>
        <w:rPr>
          <w:rFonts w:hint="eastAsia" w:ascii="仿宋_GB2312" w:hAnsi="仿宋_GB2312" w:eastAsia="仿宋_GB2312" w:cs="仿宋_GB2312"/>
          <w:sz w:val="32"/>
          <w:szCs w:val="32"/>
        </w:rPr>
        <w:t>（2）减少环境污染 </w:t>
      </w:r>
      <w:bookmarkEnd w:id="190"/>
      <w:bookmarkEnd w:id="191"/>
      <w:bookmarkEnd w:id="192"/>
      <w:bookmarkEnd w:id="193"/>
      <w:bookmarkEnd w:id="194"/>
      <w:bookmarkEnd w:id="195"/>
      <w:bookmarkEnd w:id="196"/>
      <w:bookmarkEnd w:id="197"/>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我国城市化进程加快，城市生活垃圾也日渐增多、复杂。传统混合式垃圾收集方法，给垃圾分类处理带来困难，致使城市垃圾堆积如山。堆积的垃圾散发着腐臭味，严重影响附近居民生活。另外垃圾无论填埋，或是堆积都会占用土地，污染周边水源，特别是像电池之类的有害物质更是会对周边环境造成巨大危害。研究表明：垃圾填埋，不仅会降低土壤肥力，渗滤液中的有毒有害物质还可能会渗入地表或地下水体中，引起生物污染；重金属污染等二次污染事故的发生。 </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城市生活垃圾如不能做到再生利用，就会使更多的资源走上资源――产品――垃圾的道路，使城市陷入垃圾越来越多，资源越来越缺乏，污染越来越严重的恶性循环中。因此要想解决经济发展带来的环境污染问题，就必须实行城市生活垃圾的分类收集，进而实现垃圾的无害化，减量化，资源化。 </w:t>
      </w:r>
    </w:p>
    <w:p>
      <w:pPr>
        <w:pStyle w:val="21"/>
        <w:spacing w:before="0" w:line="578" w:lineRule="exact"/>
        <w:ind w:firstLine="640" w:firstLineChars="200"/>
        <w:rPr>
          <w:rFonts w:ascii="仿宋_GB2312" w:hAnsi="仿宋_GB2312" w:eastAsia="仿宋_GB2312" w:cs="仿宋_GB2312"/>
          <w:sz w:val="32"/>
          <w:szCs w:val="32"/>
        </w:rPr>
      </w:pPr>
      <w:bookmarkStart w:id="198" w:name="_Toc9953_WPSOffice_Level3"/>
      <w:bookmarkStart w:id="199" w:name="_Toc19810_WPSOffice_Level3"/>
      <w:bookmarkStart w:id="200" w:name="_Toc4051_WPSOffice_Level3"/>
      <w:bookmarkStart w:id="201" w:name="_Toc8127_WPSOffice_Level3"/>
      <w:bookmarkStart w:id="202" w:name="_Toc22603_WPSOffice_Level3"/>
      <w:bookmarkStart w:id="203" w:name="_Toc28980_WPSOffice_Level3"/>
      <w:bookmarkStart w:id="204" w:name="_Toc23108_WPSOffice_Level3"/>
      <w:bookmarkStart w:id="205" w:name="_Toc13222_WPSOffice_Level3"/>
      <w:r>
        <w:rPr>
          <w:rFonts w:hint="eastAsia" w:ascii="仿宋_GB2312" w:hAnsi="仿宋_GB2312" w:eastAsia="仿宋_GB2312" w:cs="仿宋_GB2312"/>
          <w:sz w:val="32"/>
          <w:szCs w:val="32"/>
        </w:rPr>
        <w:t>（3）减少垃圾处理费用 </w:t>
      </w:r>
      <w:bookmarkEnd w:id="198"/>
      <w:bookmarkEnd w:id="199"/>
      <w:bookmarkEnd w:id="200"/>
      <w:bookmarkEnd w:id="201"/>
      <w:bookmarkEnd w:id="202"/>
      <w:bookmarkEnd w:id="203"/>
      <w:bookmarkEnd w:id="204"/>
      <w:bookmarkEnd w:id="205"/>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目前我国对垃圾的处理方法主要为卫生填埋、焚烧及堆肥处理。众所周知城市生活垃圾中包含金属，塑料等可回收资源，若不进行垃圾分类收集，这些资源就会被当做垃圾所处理，这样不仅浪费了资源，也大大增加了垃圾产量，提高了处理费用。如果将垃圾进行全面的分类，那么需处理的垃圾量便会大大减少，处理的费用就会大大降低。</w:t>
      </w:r>
    </w:p>
    <w:p>
      <w:pPr>
        <w:pStyle w:val="21"/>
        <w:spacing w:before="0" w:line="578" w:lineRule="exact"/>
        <w:ind w:firstLine="640" w:firstLineChars="200"/>
        <w:rPr>
          <w:rFonts w:ascii="仿宋_GB2312" w:hAnsi="仿宋_GB2312" w:eastAsia="仿宋_GB2312" w:cs="仿宋_GB2312"/>
          <w:sz w:val="32"/>
          <w:szCs w:val="32"/>
        </w:rPr>
      </w:pPr>
      <w:bookmarkStart w:id="206" w:name="_Toc3646_WPSOffice_Level3"/>
      <w:bookmarkStart w:id="207" w:name="_Toc9807_WPSOffice_Level3"/>
      <w:bookmarkStart w:id="208" w:name="_Toc5976_WPSOffice_Level3"/>
      <w:bookmarkStart w:id="209" w:name="_Toc1203_WPSOffice_Level3"/>
      <w:bookmarkStart w:id="210" w:name="_Toc27148_WPSOffice_Level3"/>
      <w:bookmarkStart w:id="211" w:name="_Toc31081_WPSOffice_Level3"/>
      <w:bookmarkStart w:id="212" w:name="_Toc6188_WPSOffice_Level3"/>
      <w:bookmarkStart w:id="213" w:name="_Toc24326_WPSOffice_Level3"/>
      <w:r>
        <w:rPr>
          <w:rFonts w:hint="eastAsia" w:ascii="仿宋_GB2312" w:hAnsi="仿宋_GB2312" w:eastAsia="仿宋_GB2312" w:cs="仿宋_GB2312"/>
          <w:sz w:val="32"/>
          <w:szCs w:val="32"/>
        </w:rPr>
        <w:t>（4）节约土地 </w:t>
      </w:r>
      <w:bookmarkEnd w:id="206"/>
      <w:bookmarkEnd w:id="207"/>
      <w:bookmarkEnd w:id="208"/>
      <w:bookmarkEnd w:id="209"/>
      <w:bookmarkEnd w:id="210"/>
      <w:bookmarkEnd w:id="211"/>
      <w:bookmarkEnd w:id="212"/>
      <w:bookmarkEnd w:id="213"/>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经济的高速发展导致我国城市垃圾量迅猛上升，我国的城市已陷入垃圾的包围之中，据统计，我国城市生活垃圾累积堆存量己达70亿吨，占地约80多万亩。全国600多座城市，除县城外，已有2/3的大中城市陷入垃圾的包围之中，且有1/4的城市已没有合适场所堆放垃圾。调查表明：北京每年填埋垃圾至少需要占用500亩的土地，几乎要消耗掉两个小村庄，用于垃圾填埋的土地征用工作已经变得非常困难。 </w:t>
      </w:r>
    </w:p>
    <w:p>
      <w:pPr>
        <w:pStyle w:val="21"/>
        <w:spacing w:before="0"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经济建设要与环境相协调，人类才能够获得长久的生存与发展。城市垃圾分类收集是人与环境和谐发展的重要举措，完善垃圾分类收集系统；强化公众环保意识；完善健全相关法律法规；加大政府对回收产业的扶持力度，逐步实现城市生活垃圾的分类收集，实现垃圾最大限度的减量化、资源化、无害化。 </w:t>
      </w:r>
    </w:p>
    <w:p>
      <w:pPr>
        <w:pStyle w:val="21"/>
        <w:spacing w:before="0" w:line="578" w:lineRule="exact"/>
        <w:ind w:firstLine="640" w:firstLineChars="200"/>
        <w:rPr>
          <w:rFonts w:ascii="仿宋_GB2312" w:hAnsi="仿宋_GB2312" w:eastAsia="仿宋_GB2312" w:cs="仿宋_GB2312"/>
          <w:sz w:val="32"/>
          <w:szCs w:val="32"/>
        </w:rPr>
      </w:pPr>
      <w:bookmarkStart w:id="214" w:name="_Toc1522_WPSOffice_Level1"/>
      <w:bookmarkStart w:id="215" w:name="_Toc32638_WPSOffice_Level1"/>
      <w:bookmarkStart w:id="216" w:name="_Toc10681_WPSOffice_Level1"/>
      <w:bookmarkStart w:id="217" w:name="_Toc11343_WPSOffice_Level1"/>
      <w:bookmarkStart w:id="218" w:name="_Toc5495_WPSOffice_Level1"/>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21"/>
        <w:spacing w:before="0" w:line="578" w:lineRule="exact"/>
        <w:ind w:firstLine="640" w:firstLineChars="200"/>
        <w:rPr>
          <w:rFonts w:ascii="仿宋_GB2312" w:hAnsi="仿宋_GB2312" w:eastAsia="仿宋_GB2312" w:cs="仿宋_GB2312"/>
          <w:sz w:val="32"/>
          <w:szCs w:val="32"/>
        </w:rPr>
      </w:pPr>
    </w:p>
    <w:p>
      <w:pPr>
        <w:pStyle w:val="3"/>
        <w:spacing w:beforeLines="100" w:afterLines="100" w:line="578" w:lineRule="exact"/>
        <w:jc w:val="center"/>
        <w:rPr>
          <w:rFonts w:ascii="宋体" w:hAnsi="宋体" w:eastAsia="宋体" w:cs="宋体"/>
          <w:sz w:val="36"/>
          <w:szCs w:val="36"/>
        </w:rPr>
      </w:pPr>
      <w:bookmarkStart w:id="219" w:name="_Toc26304_WPSOffice_Level1"/>
      <w:bookmarkStart w:id="220" w:name="_Toc25916_WPSOffice_Level1"/>
      <w:r>
        <w:rPr>
          <w:rFonts w:hint="eastAsia" w:ascii="宋体" w:hAnsi="宋体" w:eastAsia="宋体" w:cs="宋体"/>
          <w:sz w:val="36"/>
          <w:szCs w:val="36"/>
        </w:rPr>
        <w:t>第三章  市场分析</w:t>
      </w:r>
      <w:bookmarkEnd w:id="214"/>
      <w:bookmarkEnd w:id="215"/>
      <w:bookmarkEnd w:id="216"/>
      <w:bookmarkEnd w:id="217"/>
      <w:bookmarkEnd w:id="218"/>
      <w:bookmarkEnd w:id="219"/>
      <w:bookmarkEnd w:id="220"/>
    </w:p>
    <w:p>
      <w:pPr>
        <w:pStyle w:val="4"/>
        <w:spacing w:before="0" w:after="0" w:line="360" w:lineRule="auto"/>
        <w:ind w:firstLine="640" w:firstLineChars="200"/>
        <w:rPr>
          <w:rFonts w:ascii="黑体" w:hAnsi="黑体"/>
          <w:b w:val="0"/>
          <w:bCs/>
          <w:szCs w:val="32"/>
        </w:rPr>
      </w:pPr>
      <w:bookmarkStart w:id="221" w:name="_Toc18329_WPSOffice_Level2"/>
      <w:bookmarkStart w:id="222" w:name="_Toc13810_WPSOffice_Level2"/>
      <w:bookmarkStart w:id="223" w:name="_Toc14740_WPSOffice_Level2"/>
      <w:bookmarkStart w:id="224" w:name="_Toc31087_WPSOffice_Level2"/>
      <w:bookmarkStart w:id="225" w:name="_Toc22603_WPSOffice_Level2"/>
      <w:bookmarkStart w:id="226" w:name="_Toc26304_WPSOffice_Level2"/>
      <w:bookmarkStart w:id="227" w:name="_Toc18123_WPSOffice_Level2"/>
      <w:r>
        <w:rPr>
          <w:rFonts w:hint="eastAsia" w:ascii="黑体" w:hAnsi="黑体"/>
          <w:b w:val="0"/>
          <w:bCs/>
          <w:szCs w:val="32"/>
        </w:rPr>
        <w:t>3.1 行业发展情况</w:t>
      </w:r>
      <w:bookmarkEnd w:id="221"/>
      <w:bookmarkEnd w:id="222"/>
      <w:bookmarkEnd w:id="223"/>
      <w:bookmarkEnd w:id="224"/>
      <w:bookmarkEnd w:id="225"/>
      <w:bookmarkEnd w:id="226"/>
      <w:bookmarkEnd w:id="227"/>
      <w:r>
        <w:rPr>
          <w:rFonts w:hint="eastAsia" w:ascii="黑体" w:hAnsi="黑体"/>
          <w:b w:val="0"/>
          <w:bCs/>
          <w:szCs w:val="32"/>
        </w:rPr>
        <w:t xml:space="preserve"> </w:t>
      </w:r>
    </w:p>
    <w:p>
      <w:pPr>
        <w:spacing w:line="578" w:lineRule="exact"/>
        <w:ind w:firstLine="640" w:firstLineChars="200"/>
        <w:rPr>
          <w:rFonts w:ascii="仿宋_GB2312" w:hAnsi="仿宋_GB2312" w:eastAsia="仿宋_GB2312" w:cs="仿宋_GB2312"/>
          <w:sz w:val="32"/>
          <w:szCs w:val="32"/>
        </w:rPr>
      </w:pPr>
      <w:bookmarkStart w:id="228" w:name="_Toc24228_WPSOffice_Level2"/>
      <w:r>
        <w:rPr>
          <w:rFonts w:hint="eastAsia" w:ascii="仿宋_GB2312" w:hAnsi="仿宋_GB2312" w:eastAsia="仿宋_GB2312" w:cs="仿宋_GB2312"/>
          <w:sz w:val="32"/>
          <w:szCs w:val="32"/>
        </w:rPr>
        <w:t>2015年4月，《中共中央国务院关于加快推进生态文明建设的意见》发布，《意见》要求提高全社会资源产出率，构建覆盖全社会的资源循环利用体系。完善再生资源回收体系，实行垃圾分类回收，推进产业循环式组合，促进生产和生活系统的循环链接。</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2015年9月，《生态文明体制改革总体方案》发布，《方案》从制度体系构建角度出发，提出要建立和实行资源产出率统计体系、生产者责任延伸制度、垃圾强制分类制度、资源再生产品和原料推广使用制度等制度，从而完善资源循环利用制度。</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2016年初，国家及各省市国民经济和社会发展“十三五”规划纲要陆续发布，均针对国家生态文明建设意见中提到的构建资源循环利用体系要求，在“十三五”的工作中进行了相应部署，“健全再生资源回收利用网络，加强生活垃圾分类回收与再生资源回收的衔接”是工作方向。各省市国民经济和社会发展”十三五”规划纲要中，北京和上海的规划对生活垃圾分类工作的规定相对较为具体，均要求“十三五”期末实现原生垃圾零填埋，其中北京从垃圾减量优先、强化垃圾分类管理、提升垃圾分类处理能力和完善垃圾处置责任制度四方面对生活垃圾分类减量工作进行具体规定。上海明确提出要建立生活垃圾从分类、收运、资源化利用到末端处理的完整体系。</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2016年8月，国家发展改革委发布《循环发展引领计划(征求意见稿)》，就建立生产系统和生活系统循环链接，实现生活垃圾分类和再生资源回收有效衔接提出了具体的工作计划，如加强城市低值废弃物资源化利用，创新服务机制和模式;健全法规体系，研究出台强制回收的产品和包装物名录及管理办法、建筑垃圾回收与资源化利用管理办法;理顺价格税费政策，探索垃圾计量收费等。</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2016年6月，国家发改委、住建部联合发布《垃圾强制分类制度方案(征求意见稿)》，《方案》明确要求，到2020年底，实施生活垃圾强制分类的重点城市，生活垃圾分类收集覆盖率达到90%以上，生活垃圾回收利用率达到35%以上(含再生资源回收、分类收集并实施资源化利用的厨余等易腐有机垃圾)。</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为实现垃圾强制分类目标，《方案》激励约束两手抓，一方面合理划定垃圾强制分类实施范围和强制对象，即对“直辖市、省会城市、计划单列市和第一批生活垃圾分类示范城市(区)”的公共机构和相关企业实施强制分类，要求强制分类城市制定垃圾强制分类办法，因地制宜，明确城市垃圾分类要求与责任主体;另一方面要求强制分类城市以正向激励方式为主，引导居民自觉参与垃圾分类。对于未推行垃圾强制分类的城市，鼓励其选择合适的区域试点垃圾强制分类，鼓励城市居民参与垃圾分类。提出了加快建立前端、中端、末端有效衔接的垃圾分类收运回收处理系统要求，为生活垃圾分类提供基础保障。为保障强制分类有序推进，《方案》明确地方政府是方案实施主体，要求各地在2017年底前制定垃圾强制分类办法，建立领导小组，实行政府逐级考核制度;鼓励出台地方性垃圾分类法规，明确垃圾分类要求，规定垃圾强制分类的奖励和处罚措施;推行“污染者付费”原则，鼓励探索计量化、差别化收费制度;创新体制机制，鼓励社会资本参与分类收集、运输与处理，推广“互联网+垃圾分类”回收模式。</w:t>
      </w:r>
    </w:p>
    <w:p>
      <w:pPr>
        <w:pStyle w:val="4"/>
        <w:spacing w:before="0" w:after="0" w:line="360" w:lineRule="auto"/>
        <w:ind w:firstLine="640" w:firstLineChars="200"/>
        <w:rPr>
          <w:rFonts w:ascii="黑体" w:hAnsi="黑体"/>
          <w:b w:val="0"/>
          <w:bCs/>
          <w:szCs w:val="32"/>
        </w:rPr>
      </w:pPr>
      <w:bookmarkStart w:id="229" w:name="_Toc5976_WPSOffice_Level2"/>
      <w:bookmarkStart w:id="230" w:name="_Toc17110_WPSOffice_Level2"/>
      <w:bookmarkStart w:id="231" w:name="_Toc29881_WPSOffice_Level2"/>
      <w:bookmarkStart w:id="232" w:name="_Toc14229_WPSOffice_Level2"/>
      <w:bookmarkStart w:id="233" w:name="_Toc17001_WPSOffice_Level2"/>
      <w:bookmarkStart w:id="234" w:name="_Toc5580_WPSOffice_Level2"/>
      <w:r>
        <w:rPr>
          <w:rFonts w:hint="eastAsia" w:ascii="黑体" w:hAnsi="黑体"/>
          <w:b w:val="0"/>
          <w:bCs/>
          <w:szCs w:val="32"/>
        </w:rPr>
        <w:t>3.2 项目市场分析</w:t>
      </w:r>
      <w:bookmarkEnd w:id="228"/>
      <w:bookmarkEnd w:id="229"/>
      <w:bookmarkEnd w:id="230"/>
      <w:bookmarkEnd w:id="231"/>
      <w:bookmarkEnd w:id="232"/>
      <w:bookmarkEnd w:id="233"/>
      <w:bookmarkEnd w:id="234"/>
      <w:r>
        <w:rPr>
          <w:rFonts w:hint="eastAsia" w:ascii="黑体" w:hAnsi="黑体"/>
          <w:b w:val="0"/>
          <w:bCs/>
          <w:szCs w:val="32"/>
        </w:rPr>
        <w:t xml:space="preserve"> </w:t>
      </w:r>
    </w:p>
    <w:p>
      <w:pPr>
        <w:spacing w:line="578" w:lineRule="exact"/>
        <w:ind w:firstLine="640" w:firstLineChars="200"/>
        <w:rPr>
          <w:rFonts w:ascii="仿宋_GB2312" w:hAnsi="仿宋_GB2312" w:eastAsia="仿宋_GB2312" w:cs="仿宋_GB2312"/>
          <w:sz w:val="32"/>
          <w:szCs w:val="32"/>
        </w:rPr>
      </w:pPr>
      <w:bookmarkStart w:id="235" w:name="_Toc18329_WPSOffice_Level1"/>
      <w:r>
        <w:rPr>
          <w:rFonts w:hint="eastAsia" w:ascii="仿宋_GB2312" w:hAnsi="仿宋_GB2312" w:eastAsia="仿宋_GB2312" w:cs="仿宋_GB2312"/>
          <w:sz w:val="32"/>
          <w:szCs w:val="32"/>
        </w:rPr>
        <w:t>“互联网+垃圾分类”的兴起让国内垃圾分类看到了希望。政府也在积极制定新的法规法律。很多地方已经把垃圾分类纳入诚信体系。部分大城市已经开始实施不分类不运输的政策。“互联网+垃圾分类”可以从源头上解决垃圾混乱问题。通过积分兑换生活用品的奖励模式，市民变被动为主动，垃圾分类热情高涨。保洁人员对分类垃圾进行二次检验，不合格的垃圾联系市民重新分类。处罚奖励做好了，参与率和正确率都明显提高。</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智能垃圾分类系统是按照垃圾分类与再生资源回收“两网合一”的思路，运用“互联网+垃圾分类”思维，一种用于社区居民垃圾分类规范化的监控管理系统。包括基础信息管理、垃圾分类管理、积分管理、数据分析、商铺管理、信息管理以及系统管理等。</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智能垃圾分类系统利用物联网、互联网融合技术，实现垃圾投放的有源可溯。在实际操作中通过对市民加强环境保护、垃圾分类指导等宣传教育，建立积分回馈体系等，引导和鼓励居民自觉对垃圾进行分类回收和定点投放，最终实现垃圾的减量化和资源化。逐步建立政府引导、群众参与、市场化运作、法制化规范的运行机制。进一步完善垃圾收运体系建设。</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智能垃圾分类系统设备包括可回收垃圾智能回收平台、智能垃圾分类箱和垃圾袋自动领取机。智能化的垃圾分类设备应尽量满足居民的方便使用性。</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政府的指引下，各路传统媒体，网络媒体，地面活动，学校教育等等立体式教育也已经开展。为国民素质的提高带薪助燃。同时建设生活垃圾分类网。借助网站建设，让市民了解垃圾分类最新动态，发布垃圾分类法律法规，分享城市优秀经验，下载垃圾分类小游戏。具有受众广、时效性强、管理便捷、响应程度高等优势，是政府垃圾分类宣传的最佳渠道。也可建设垃圾分类微信平台，每日推送垃圾分类最新动态，接收市民咨询与举报。微信平台和网站平台相辅相成，双管齐下为垃圾分类宣传提供保障。</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随着公众对生活垃圾回收利用率和清洁利用水平认识的加深，公众对低值回收物的回收愿望加强，生活垃圾回收网络也亟需一场面向“减量化、资源化、无害化”的有效变革。</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此背景下诞生的两网融合，即把再生资源和生活垃圾网络进行有机结合，基于生活垃圾投放收集、清运中转、终端处置业务条线进行统筹规划，实现投放点的整合统一、作业队伍的整编、设施场地的共享等，并依托现代科技，实施精细化、智慧化、全面化的管理服务。</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两网融合能够充分发挥两者优势，方便居民分类投放、出售废品，提升收运队伍专业化水平，提升终端处置的效率，使不同类型的垃圾能得到合理分流、合理处置和循环再生利用。这一做法不仅仅能够提升垃圾回收利用率，节约管理经费，更能够准确推进生活垃圾源头分类，引导全社会关注生活垃圾的全过程管理，让居民享受到价格透明、便捷的回收服务。</w:t>
      </w:r>
    </w:p>
    <w:p>
      <w:pPr>
        <w:spacing w:line="578" w:lineRule="exact"/>
        <w:ind w:firstLine="640" w:firstLineChars="200"/>
        <w:rPr>
          <w:rFonts w:ascii="仿宋_GB2312" w:hAnsi="仿宋_GB2312" w:eastAsia="仿宋_GB2312" w:cs="仿宋_GB2312"/>
          <w:sz w:val="32"/>
          <w:szCs w:val="32"/>
        </w:rPr>
      </w:pPr>
      <w:bookmarkStart w:id="236" w:name="_Toc16016_WPSOffice_Level1"/>
      <w:bookmarkStart w:id="237" w:name="_Toc30084_WPSOffice_Level1"/>
      <w:bookmarkStart w:id="238" w:name="_Toc32670_WPSOffice_Level1"/>
      <w:bookmarkStart w:id="239" w:name="_Toc868_WPSOffice_Level1"/>
    </w:p>
    <w:p>
      <w:pPr>
        <w:spacing w:line="578" w:lineRule="exact"/>
        <w:ind w:firstLine="640" w:firstLineChars="200"/>
        <w:rPr>
          <w:rFonts w:ascii="仿宋_GB2312" w:hAnsi="仿宋_GB2312" w:eastAsia="仿宋_GB2312" w:cs="仿宋_GB2312"/>
          <w:sz w:val="32"/>
          <w:szCs w:val="32"/>
        </w:rPr>
      </w:pPr>
    </w:p>
    <w:p>
      <w:pPr>
        <w:spacing w:line="578" w:lineRule="exact"/>
        <w:ind w:firstLine="640" w:firstLineChars="200"/>
        <w:rPr>
          <w:rFonts w:ascii="仿宋_GB2312" w:hAnsi="仿宋_GB2312" w:eastAsia="仿宋_GB2312" w:cs="仿宋_GB2312"/>
          <w:sz w:val="32"/>
          <w:szCs w:val="32"/>
        </w:rPr>
      </w:pPr>
    </w:p>
    <w:p>
      <w:pPr>
        <w:spacing w:line="578" w:lineRule="exact"/>
        <w:ind w:firstLine="640" w:firstLineChars="200"/>
        <w:rPr>
          <w:rFonts w:ascii="仿宋_GB2312" w:hAnsi="仿宋_GB2312" w:eastAsia="仿宋_GB2312" w:cs="仿宋_GB2312"/>
          <w:sz w:val="32"/>
          <w:szCs w:val="32"/>
        </w:rPr>
      </w:pPr>
    </w:p>
    <w:p>
      <w:pPr>
        <w:spacing w:line="578" w:lineRule="exact"/>
        <w:ind w:firstLine="640" w:firstLineChars="200"/>
        <w:rPr>
          <w:rFonts w:ascii="仿宋_GB2312" w:hAnsi="仿宋_GB2312" w:eastAsia="仿宋_GB2312" w:cs="仿宋_GB2312"/>
          <w:sz w:val="32"/>
          <w:szCs w:val="32"/>
        </w:rPr>
      </w:pPr>
    </w:p>
    <w:p>
      <w:pPr>
        <w:spacing w:line="578" w:lineRule="exact"/>
        <w:ind w:firstLine="640" w:firstLineChars="200"/>
        <w:rPr>
          <w:rFonts w:ascii="仿宋_GB2312" w:hAnsi="仿宋_GB2312" w:eastAsia="仿宋_GB2312" w:cs="仿宋_GB2312"/>
          <w:sz w:val="32"/>
          <w:szCs w:val="32"/>
        </w:rPr>
      </w:pPr>
    </w:p>
    <w:p>
      <w:pPr>
        <w:spacing w:line="578" w:lineRule="exact"/>
        <w:ind w:firstLine="640" w:firstLineChars="200"/>
        <w:rPr>
          <w:rFonts w:ascii="仿宋_GB2312" w:hAnsi="仿宋_GB2312" w:eastAsia="仿宋_GB2312" w:cs="仿宋_GB2312"/>
          <w:sz w:val="32"/>
          <w:szCs w:val="32"/>
        </w:rPr>
      </w:pPr>
    </w:p>
    <w:p>
      <w:pPr>
        <w:spacing w:line="578" w:lineRule="exact"/>
        <w:ind w:firstLine="640" w:firstLineChars="200"/>
        <w:rPr>
          <w:rFonts w:ascii="仿宋_GB2312" w:hAnsi="仿宋_GB2312" w:eastAsia="仿宋_GB2312" w:cs="仿宋_GB2312"/>
          <w:sz w:val="32"/>
          <w:szCs w:val="32"/>
        </w:rPr>
      </w:pPr>
    </w:p>
    <w:p>
      <w:pPr>
        <w:spacing w:line="578" w:lineRule="exact"/>
        <w:ind w:firstLine="640" w:firstLineChars="200"/>
        <w:rPr>
          <w:rFonts w:ascii="仿宋_GB2312" w:hAnsi="仿宋_GB2312" w:eastAsia="仿宋_GB2312" w:cs="仿宋_GB2312"/>
          <w:sz w:val="32"/>
          <w:szCs w:val="32"/>
        </w:rPr>
      </w:pPr>
    </w:p>
    <w:p>
      <w:pPr>
        <w:spacing w:line="578" w:lineRule="exact"/>
        <w:ind w:firstLine="640" w:firstLineChars="200"/>
        <w:rPr>
          <w:rFonts w:ascii="仿宋_GB2312" w:hAnsi="仿宋_GB2312" w:eastAsia="仿宋_GB2312" w:cs="仿宋_GB2312"/>
          <w:sz w:val="32"/>
          <w:szCs w:val="32"/>
        </w:rPr>
      </w:pPr>
    </w:p>
    <w:p>
      <w:pPr>
        <w:spacing w:line="578" w:lineRule="exact"/>
        <w:ind w:firstLine="640" w:firstLineChars="200"/>
        <w:rPr>
          <w:rFonts w:ascii="仿宋_GB2312" w:hAnsi="仿宋_GB2312" w:eastAsia="仿宋_GB2312" w:cs="仿宋_GB2312"/>
          <w:sz w:val="32"/>
          <w:szCs w:val="32"/>
        </w:rPr>
      </w:pPr>
    </w:p>
    <w:p>
      <w:pPr>
        <w:spacing w:line="578" w:lineRule="exact"/>
        <w:ind w:firstLine="640" w:firstLineChars="200"/>
        <w:rPr>
          <w:rFonts w:ascii="仿宋_GB2312" w:hAnsi="仿宋_GB2312" w:eastAsia="仿宋_GB2312" w:cs="仿宋_GB2312"/>
          <w:sz w:val="32"/>
          <w:szCs w:val="32"/>
        </w:rPr>
      </w:pPr>
    </w:p>
    <w:p>
      <w:pPr>
        <w:pStyle w:val="3"/>
        <w:spacing w:beforeLines="100" w:afterLines="100" w:line="578" w:lineRule="exact"/>
        <w:jc w:val="center"/>
        <w:rPr>
          <w:rFonts w:ascii="宋体" w:hAnsi="宋体" w:eastAsia="宋体" w:cs="宋体"/>
          <w:sz w:val="36"/>
          <w:szCs w:val="36"/>
        </w:rPr>
      </w:pPr>
      <w:bookmarkStart w:id="240" w:name="_Toc17110_WPSOffice_Level1"/>
      <w:bookmarkStart w:id="241" w:name="_Toc1185_WPSOffice_Level1"/>
      <w:r>
        <w:rPr>
          <w:rFonts w:hint="eastAsia" w:ascii="宋体" w:hAnsi="宋体" w:eastAsia="宋体" w:cs="宋体"/>
          <w:sz w:val="36"/>
          <w:szCs w:val="36"/>
        </w:rPr>
        <w:t>第四章  垃圾预测及项目规模</w:t>
      </w:r>
      <w:bookmarkEnd w:id="235"/>
      <w:bookmarkEnd w:id="236"/>
      <w:bookmarkEnd w:id="237"/>
      <w:bookmarkEnd w:id="238"/>
      <w:bookmarkEnd w:id="239"/>
      <w:bookmarkEnd w:id="240"/>
      <w:bookmarkEnd w:id="241"/>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2017年嘉峪关市人口规模24.98万人，城市建设用地规模60.92平方公里，人均建设用地190.4平方米。自然增长率为9.91‰。城镇人口23.34万人，城镇化率为93.45%。</w:t>
      </w:r>
      <w:bookmarkStart w:id="242" w:name="_Toc5974_WPSOffice_Level3"/>
    </w:p>
    <w:p>
      <w:pPr>
        <w:pStyle w:val="4"/>
        <w:spacing w:before="0" w:after="0" w:line="360" w:lineRule="auto"/>
        <w:ind w:firstLine="640" w:firstLineChars="200"/>
        <w:rPr>
          <w:rFonts w:ascii="黑体" w:hAnsi="黑体"/>
          <w:b w:val="0"/>
          <w:bCs/>
          <w:szCs w:val="32"/>
        </w:rPr>
      </w:pPr>
      <w:bookmarkStart w:id="243" w:name="_Toc9090_WPSOffice_Level2"/>
      <w:bookmarkStart w:id="244" w:name="_Toc23108_WPSOffice_Level2"/>
      <w:bookmarkStart w:id="245" w:name="_Toc17202_WPSOffice_Level2"/>
      <w:bookmarkStart w:id="246" w:name="_Toc8127_WPSOffice_Level2"/>
      <w:bookmarkStart w:id="247" w:name="_Toc28676_WPSOffice_Level2"/>
      <w:bookmarkStart w:id="248" w:name="_Toc9953_WPSOffice_Level2"/>
      <w:r>
        <w:rPr>
          <w:rFonts w:hint="eastAsia" w:ascii="黑体" w:hAnsi="黑体"/>
          <w:b w:val="0"/>
          <w:bCs/>
          <w:szCs w:val="32"/>
        </w:rPr>
        <w:t>4.1城市人口预测</w:t>
      </w:r>
      <w:bookmarkEnd w:id="242"/>
      <w:bookmarkEnd w:id="243"/>
      <w:bookmarkEnd w:id="244"/>
      <w:bookmarkEnd w:id="245"/>
      <w:bookmarkEnd w:id="246"/>
      <w:bookmarkEnd w:id="247"/>
      <w:bookmarkEnd w:id="248"/>
      <w:r>
        <w:rPr>
          <w:rFonts w:hint="eastAsia" w:ascii="黑体" w:hAnsi="黑体"/>
          <w:b w:val="0"/>
          <w:bCs/>
          <w:szCs w:val="32"/>
        </w:rPr>
        <w:t xml:space="preserve"> </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该城市现有人口数为25万，根据规划到2039年人口达到30万。采用集合增加法对其进行预测：</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object>
          <v:shape id="_x0000_i1025" o:spt="75" type="#_x0000_t75" style="height:18.6pt;width:48.55pt;" o:ole="t" filled="f" o:preferrelative="t" stroked="f" coordsize="21600,21600">
            <v:path/>
            <v:fill on="f" focussize="0,0"/>
            <v:stroke on="f" joinstyle="miter"/>
            <v:imagedata r:id="rId14" o:title=""/>
            <o:lock v:ext="edit" aspectratio="t"/>
            <w10:wrap type="none"/>
            <w10:anchorlock/>
          </v:shape>
          <o:OLEObject Type="Embed" ProgID="Equations" ShapeID="_x0000_i1025" DrawAspect="Content" ObjectID="_1468075725" r:id="rId13">
            <o:LockedField>false</o:LockedField>
          </o:OLEObject>
        </w:objec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object>
          <v:shape id="_x0000_i1026" o:spt="75" type="#_x0000_t75" style="height:30.75pt;width:76.85pt;" o:ole="t" filled="f" o:preferrelative="t" stroked="f" coordsize="21600,21600">
            <v:path/>
            <v:fill on="f" focussize="0,0"/>
            <v:stroke on="f" joinstyle="miter"/>
            <v:imagedata r:id="rId16" o:title=""/>
            <o:lock v:ext="edit" aspectratio="t"/>
            <w10:wrap type="none"/>
            <w10:anchorlock/>
          </v:shape>
          <o:OLEObject Type="Embed" ProgID="Equations" ShapeID="_x0000_i1026" DrawAspect="Content" ObjectID="_1468075726" r:id="rId15">
            <o:LockedField>false</o:LockedField>
          </o:OLEObject>
        </w:objec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171450" cy="228600"/>
            <wp:effectExtent l="0" t="0" r="0" b="0"/>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pic:cNvPicPr>
                      <a:picLocks noChangeAspect="1"/>
                    </pic:cNvPicPr>
                  </pic:nvPicPr>
                  <pic:blipFill>
                    <a:blip r:embed="rId17" cstate="print"/>
                    <a:stretch>
                      <a:fillRect/>
                    </a:stretch>
                  </pic:blipFill>
                  <pic:spPr>
                    <a:xfrm>
                      <a:off x="0" y="0"/>
                      <a:ext cx="171450" cy="228600"/>
                    </a:xfrm>
                    <a:prstGeom prst="rect">
                      <a:avLst/>
                    </a:prstGeom>
                    <a:noFill/>
                    <a:ln>
                      <a:noFill/>
                    </a:ln>
                  </pic:spPr>
                </pic:pic>
              </a:graphicData>
            </a:graphic>
          </wp:inline>
        </w:drawing>
      </w:r>
      <w:r>
        <w:rPr>
          <w:rFonts w:hint="eastAsia" w:ascii="仿宋_GB2312" w:hAnsi="仿宋_GB2312" w:eastAsia="仿宋_GB2312" w:cs="仿宋_GB2312"/>
          <w:sz w:val="32"/>
          <w:szCs w:val="32"/>
        </w:rPr>
        <w:t>：年后的人口数，人；</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161925" cy="228600"/>
            <wp:effectExtent l="0" t="0" r="8255" b="0"/>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18" cstate="print"/>
                    <a:stretch>
                      <a:fillRect/>
                    </a:stretch>
                  </pic:blipFill>
                  <pic:spPr>
                    <a:xfrm>
                      <a:off x="0" y="0"/>
                      <a:ext cx="161925" cy="228600"/>
                    </a:xfrm>
                    <a:prstGeom prst="rect">
                      <a:avLst/>
                    </a:prstGeom>
                    <a:noFill/>
                    <a:ln>
                      <a:noFill/>
                    </a:ln>
                  </pic:spPr>
                </pic:pic>
              </a:graphicData>
            </a:graphic>
          </wp:inline>
        </w:drawing>
      </w:r>
      <w:r>
        <w:rPr>
          <w:rFonts w:hint="eastAsia" w:ascii="仿宋_GB2312" w:hAnsi="仿宋_GB2312" w:eastAsia="仿宋_GB2312" w:cs="仿宋_GB2312"/>
          <w:sz w:val="32"/>
          <w:szCs w:val="32"/>
        </w:rPr>
        <w:t>：现在人口数，人；</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123825" cy="133350"/>
            <wp:effectExtent l="0" t="0" r="0" b="0"/>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pic:cNvPicPr>
                      <a:picLocks noChangeAspect="1"/>
                    </pic:cNvPicPr>
                  </pic:nvPicPr>
                  <pic:blipFill>
                    <a:blip r:embed="rId19" cstate="print"/>
                    <a:stretch>
                      <a:fillRect/>
                    </a:stretch>
                  </pic:blipFill>
                  <pic:spPr>
                    <a:xfrm>
                      <a:off x="0" y="0"/>
                      <a:ext cx="123825" cy="133350"/>
                    </a:xfrm>
                    <a:prstGeom prst="rect">
                      <a:avLst/>
                    </a:prstGeom>
                    <a:noFill/>
                    <a:ln>
                      <a:noFill/>
                    </a:ln>
                  </pic:spPr>
                </pic:pic>
              </a:graphicData>
            </a:graphic>
          </wp:inline>
        </w:drawing>
      </w:r>
      <w:r>
        <w:rPr>
          <w:rFonts w:hint="eastAsia" w:ascii="仿宋_GB2312" w:hAnsi="仿宋_GB2312" w:eastAsia="仿宋_GB2312" w:cs="仿宋_GB2312"/>
          <w:sz w:val="32"/>
          <w:szCs w:val="32"/>
        </w:rPr>
        <w:t>：推测年数，年；</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142875" cy="228600"/>
            <wp:effectExtent l="0" t="0" r="9525" b="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20" cstate="print"/>
                    <a:stretch>
                      <a:fillRect/>
                    </a:stretch>
                  </pic:blipFill>
                  <pic:spPr>
                    <a:xfrm>
                      <a:off x="0" y="0"/>
                      <a:ext cx="142875" cy="228600"/>
                    </a:xfrm>
                    <a:prstGeom prst="rect">
                      <a:avLst/>
                    </a:prstGeom>
                    <a:noFill/>
                    <a:ln>
                      <a:noFill/>
                    </a:ln>
                  </pic:spPr>
                </pic:pic>
              </a:graphicData>
            </a:graphic>
          </wp:inline>
        </w:drawing>
      </w:r>
      <w:r>
        <w:rPr>
          <w:rFonts w:hint="eastAsia" w:ascii="仿宋_GB2312" w:hAnsi="仿宋_GB2312" w:eastAsia="仿宋_GB2312" w:cs="仿宋_GB2312"/>
          <w:sz w:val="32"/>
          <w:szCs w:val="32"/>
        </w:rPr>
        <w:t>：现在起t年前人口数，人；</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85725" cy="142875"/>
            <wp:effectExtent l="0" t="0" r="9525" b="698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21" cstate="print"/>
                    <a:stretch>
                      <a:fillRect/>
                    </a:stretch>
                  </pic:blipFill>
                  <pic:spPr>
                    <a:xfrm>
                      <a:off x="0" y="0"/>
                      <a:ext cx="85725" cy="142875"/>
                    </a:xfrm>
                    <a:prstGeom prst="rect">
                      <a:avLst/>
                    </a:prstGeom>
                    <a:noFill/>
                    <a:ln>
                      <a:noFill/>
                    </a:ln>
                  </pic:spPr>
                </pic:pic>
              </a:graphicData>
            </a:graphic>
          </wp:inline>
        </w:drawing>
      </w:r>
      <w:r>
        <w:rPr>
          <w:rFonts w:hint="eastAsia" w:ascii="仿宋_GB2312" w:hAnsi="仿宋_GB2312" w:eastAsia="仿宋_GB2312" w:cs="仿宋_GB2312"/>
          <w:sz w:val="32"/>
          <w:szCs w:val="32"/>
        </w:rPr>
        <w:t>：过去的年数，年。</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因此，人口增长预测计算公式为：</w:t>
      </w:r>
      <w:r>
        <w:rPr>
          <w:rFonts w:hint="eastAsia" w:ascii="仿宋_GB2312" w:hAnsi="仿宋_GB2312" w:eastAsia="仿宋_GB2312" w:cs="仿宋_GB2312"/>
          <w:sz w:val="32"/>
          <w:szCs w:val="32"/>
        </w:rPr>
        <w:object>
          <v:shape id="_x0000_i1027" o:spt="75" type="#_x0000_t75" style="height:18.6pt;width:78.45pt;" o:ole="t" filled="f" o:preferrelative="t" stroked="f" coordsize="21600,21600">
            <v:path/>
            <v:fill on="f" focussize="0,0"/>
            <v:stroke on="f" joinstyle="miter"/>
            <v:imagedata r:id="rId23" o:title=""/>
            <o:lock v:ext="edit" aspectratio="t"/>
            <w10:wrap type="none"/>
            <w10:anchorlock/>
          </v:shape>
          <o:OLEObject Type="Embed" ProgID="Equations" ShapeID="_x0000_i1027" DrawAspect="Content" ObjectID="_1468075727" r:id="rId22">
            <o:LockedField>false</o:LockedField>
          </o:OLEObject>
        </w:object>
      </w:r>
    </w:p>
    <w:p>
      <w:pPr>
        <w:pStyle w:val="4"/>
        <w:spacing w:before="0" w:after="0" w:line="360" w:lineRule="auto"/>
        <w:ind w:firstLine="640" w:firstLineChars="200"/>
        <w:rPr>
          <w:rFonts w:ascii="黑体" w:hAnsi="黑体"/>
          <w:b w:val="0"/>
          <w:bCs/>
          <w:szCs w:val="32"/>
        </w:rPr>
      </w:pPr>
      <w:bookmarkStart w:id="249" w:name="_Toc4949_WPSOffice_Level2"/>
      <w:r>
        <w:rPr>
          <w:rFonts w:hint="eastAsia" w:ascii="黑体" w:hAnsi="黑体"/>
          <w:b w:val="0"/>
          <w:bCs/>
          <w:szCs w:val="32"/>
        </w:rPr>
        <w:t>4.2分类处理户数分析预测</w:t>
      </w:r>
      <w:bookmarkEnd w:id="249"/>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下辖镜铁区、雄关区、长城区三个区，居住总户数137091户，其中镜铁区55302户、雄关区46893户、长城区34896户，机关企事业单位1029家，医院8家，床位1515张，社区诊所120家，学校89所。住宅小区住户统计是依据已建住宅进行的统计，在初期考虑空置率30%，本次垃圾分类智能设备配置户数为95964户。机关企事业单位、医院诊所生活垃圾、学校根据不同情况设置。街道及旅游景点按目前非智能设置。</w:t>
      </w:r>
    </w:p>
    <w:p>
      <w:pPr>
        <w:pStyle w:val="4"/>
        <w:spacing w:before="0" w:after="0" w:line="360" w:lineRule="auto"/>
        <w:ind w:firstLine="640" w:firstLineChars="200"/>
        <w:rPr>
          <w:rFonts w:ascii="黑体" w:hAnsi="黑体"/>
          <w:b w:val="0"/>
          <w:bCs/>
          <w:szCs w:val="32"/>
        </w:rPr>
      </w:pPr>
      <w:bookmarkStart w:id="250" w:name="_Toc12270_WPSOffice_Level3"/>
      <w:bookmarkStart w:id="251" w:name="_Toc9807_WPSOffice_Level2"/>
      <w:bookmarkStart w:id="252" w:name="_Toc17235_WPSOffice_Level2"/>
      <w:bookmarkStart w:id="253" w:name="_Toc6507_WPSOffice_Level2"/>
      <w:bookmarkStart w:id="254" w:name="_Toc6982_WPSOffice_Level2"/>
      <w:bookmarkStart w:id="255" w:name="_Toc27148_WPSOffice_Level2"/>
      <w:bookmarkStart w:id="256" w:name="_Toc1203_WPSOffice_Level2"/>
      <w:bookmarkStart w:id="257" w:name="_Toc11888_WPSOffice_Level1"/>
      <w:bookmarkStart w:id="258" w:name="_Toc17175_WPSOffice_Level1"/>
      <w:bookmarkStart w:id="259" w:name="_Toc17392_WPSOffice_Level1"/>
      <w:bookmarkStart w:id="260" w:name="_Toc25168_WPSOffice_Level1"/>
      <w:bookmarkStart w:id="261" w:name="_Toc12270_WPSOffice_Level1"/>
      <w:bookmarkStart w:id="262" w:name="_Toc9433_WPSOffice_Level1"/>
      <w:r>
        <w:rPr>
          <w:rFonts w:hint="eastAsia" w:ascii="黑体" w:hAnsi="黑体"/>
          <w:b w:val="0"/>
          <w:bCs/>
          <w:szCs w:val="32"/>
        </w:rPr>
        <w:t>4.3城市垃圾产生量预测</w:t>
      </w:r>
      <w:bookmarkEnd w:id="250"/>
      <w:bookmarkEnd w:id="251"/>
      <w:bookmarkEnd w:id="252"/>
      <w:bookmarkEnd w:id="253"/>
      <w:bookmarkEnd w:id="254"/>
      <w:bookmarkEnd w:id="255"/>
      <w:bookmarkEnd w:id="256"/>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根据嘉峪关市环卫部门提供的资料得知，2018年全市生活垃圾产量为7.96万吨（其中餐厨垃圾约1.1万吨），日产量218吨（其中餐厨垃圾30吨）。现状人均垃圾产生量为0.93千克/日，餐厨垃圾约占13.76%。垃圾无害化处理率达100%。目前，日产生活垃圾最低值185吨，日产生活垃圾最高值251吨。</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估算城市生活垃圾产生量的通用公式为：</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object>
          <v:shape id="_x0000_i1028" o:spt="75" type="#_x0000_t75" style="height:18.6pt;width:116.5pt;" o:ole="t" filled="f" o:preferrelative="t" stroked="f" coordsize="21600,21600">
            <v:path/>
            <v:fill on="f" focussize="0,0"/>
            <v:stroke on="f" joinstyle="miter"/>
            <v:imagedata r:id="rId25" o:title=""/>
            <o:lock v:ext="edit" aspectratio="t"/>
            <w10:wrap type="none"/>
            <w10:anchorlock/>
          </v:shape>
          <o:OLEObject Type="Embed" ProgID="Equations" ShapeID="_x0000_i1028" DrawAspect="Content" ObjectID="_1468075728" r:id="rId24">
            <o:LockedField>false</o:LockedField>
          </o:OLEObject>
        </w:objec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161925" cy="228600"/>
            <wp:effectExtent l="0" t="0" r="9525" b="0"/>
            <wp:docPr id="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7"/>
                    <pic:cNvPicPr>
                      <a:picLocks noChangeAspect="1"/>
                    </pic:cNvPicPr>
                  </pic:nvPicPr>
                  <pic:blipFill>
                    <a:blip r:embed="rId26" cstate="print"/>
                    <a:stretch>
                      <a:fillRect/>
                    </a:stretch>
                  </pic:blipFill>
                  <pic:spPr>
                    <a:xfrm>
                      <a:off x="0" y="0"/>
                      <a:ext cx="161925" cy="228600"/>
                    </a:xfrm>
                    <a:prstGeom prst="rect">
                      <a:avLst/>
                    </a:prstGeom>
                    <a:noFill/>
                    <a:ln>
                      <a:noFill/>
                    </a:ln>
                  </pic:spPr>
                </pic:pic>
              </a:graphicData>
            </a:graphic>
          </wp:inline>
        </w:drawing>
      </w:r>
      <w:r>
        <w:rPr>
          <w:rFonts w:hint="eastAsia" w:ascii="仿宋_GB2312" w:hAnsi="仿宋_GB2312" w:eastAsia="仿宋_GB2312" w:cs="仿宋_GB2312"/>
          <w:sz w:val="32"/>
          <w:szCs w:val="32"/>
        </w:rPr>
        <w:t>：第n年城市生活垃圾产生量，t/a；</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171450" cy="228600"/>
            <wp:effectExtent l="0" t="0" r="0" b="0"/>
            <wp:docPr id="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8"/>
                    <pic:cNvPicPr>
                      <a:picLocks noChangeAspect="1"/>
                    </pic:cNvPicPr>
                  </pic:nvPicPr>
                  <pic:blipFill>
                    <a:blip r:embed="rId27" cstate="print"/>
                    <a:stretch>
                      <a:fillRect/>
                    </a:stretch>
                  </pic:blipFill>
                  <pic:spPr>
                    <a:xfrm>
                      <a:off x="0" y="0"/>
                      <a:ext cx="171450" cy="228600"/>
                    </a:xfrm>
                    <a:prstGeom prst="rect">
                      <a:avLst/>
                    </a:prstGeom>
                    <a:noFill/>
                    <a:ln>
                      <a:noFill/>
                    </a:ln>
                  </pic:spPr>
                </pic:pic>
              </a:graphicData>
            </a:graphic>
          </wp:inline>
        </w:drawing>
      </w:r>
      <w:r>
        <w:rPr>
          <w:rFonts w:hint="eastAsia" w:ascii="仿宋_GB2312" w:hAnsi="仿宋_GB2312" w:eastAsia="仿宋_GB2312" w:cs="仿宋_GB2312"/>
          <w:sz w:val="32"/>
          <w:szCs w:val="32"/>
        </w:rPr>
        <w:t>：第n年城市生活垃圾的产率或产出系数，g/(人· d)；</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180975" cy="228600"/>
            <wp:effectExtent l="0" t="0" r="9525" b="0"/>
            <wp:docPr id="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9"/>
                    <pic:cNvPicPr>
                      <a:picLocks noChangeAspect="1"/>
                    </pic:cNvPicPr>
                  </pic:nvPicPr>
                  <pic:blipFill>
                    <a:blip r:embed="rId28" cstate="print"/>
                    <a:stretch>
                      <a:fillRect/>
                    </a:stretch>
                  </pic:blipFill>
                  <pic:spPr>
                    <a:xfrm>
                      <a:off x="0" y="0"/>
                      <a:ext cx="180975" cy="228600"/>
                    </a:xfrm>
                    <a:prstGeom prst="rect">
                      <a:avLst/>
                    </a:prstGeom>
                    <a:noFill/>
                    <a:ln>
                      <a:noFill/>
                    </a:ln>
                  </pic:spPr>
                </pic:pic>
              </a:graphicData>
            </a:graphic>
          </wp:inline>
        </w:drawing>
      </w:r>
      <w:r>
        <w:rPr>
          <w:rFonts w:hint="eastAsia" w:ascii="仿宋_GB2312" w:hAnsi="仿宋_GB2312" w:eastAsia="仿宋_GB2312" w:cs="仿宋_GB2312"/>
          <w:sz w:val="32"/>
          <w:szCs w:val="32"/>
        </w:rPr>
        <w:t>：第n年城市人口数，人。</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目前该城市人均日产垃圾量为0.93kg/（人·d），并且考虑到当地的经济发展及人们的消费水平，垃圾人均日产量以年增长率2%的增长速度进行估算。则预测该城市人均日产垃圾量的公式为：</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object>
          <v:shape id="_x0000_i1029" o:spt="75" type="#_x0000_t75" style="height:18.6pt;width:80.9pt;" o:ole="t" filled="f" o:preferrelative="t" stroked="f" coordsize="21600,21600">
            <v:path/>
            <v:fill on="f" focussize="0,0"/>
            <v:stroke on="f" joinstyle="miter"/>
            <v:imagedata r:id="rId30" o:title=""/>
            <o:lock v:ext="edit" aspectratio="t"/>
            <w10:wrap type="none"/>
            <w10:anchorlock/>
          </v:shape>
          <o:OLEObject Type="Embed" ProgID="Equations" ShapeID="_x0000_i1029" DrawAspect="Content" ObjectID="_1468075729" r:id="rId29">
            <o:LockedField>false</o:LockedField>
          </o:OLEObject>
        </w:object>
      </w:r>
    </w:p>
    <w:p>
      <w:pPr>
        <w:spacing w:line="578" w:lineRule="exact"/>
        <w:ind w:firstLine="640" w:firstLineChars="200"/>
        <w:rPr>
          <w:rFonts w:ascii="仿宋_GB2312" w:hAnsi="仿宋_GB2312" w:eastAsia="仿宋_GB2312" w:cs="仿宋_GB2312"/>
          <w:sz w:val="32"/>
          <w:szCs w:val="32"/>
        </w:rPr>
      </w:pPr>
      <w:bookmarkStart w:id="263" w:name="_Toc14625_WPSOffice_Level3"/>
      <w:bookmarkStart w:id="264" w:name="_Toc18896_WPSOffice_Level3"/>
      <w:bookmarkStart w:id="265" w:name="_Toc15976_WPSOffice_Level3"/>
      <w:bookmarkStart w:id="266" w:name="_Toc27589_WPSOffice_Level3"/>
      <w:bookmarkStart w:id="267" w:name="_Toc3480_WPSOffice_Level3"/>
      <w:bookmarkStart w:id="268" w:name="_Toc2674_WPSOffice_Level3"/>
      <w:bookmarkStart w:id="269" w:name="_Toc19753_WPSOffice_Level3"/>
      <w:bookmarkStart w:id="270" w:name="_Toc7258_WPSOffice_Level3"/>
      <w:r>
        <w:rPr>
          <w:rFonts w:hint="eastAsia" w:ascii="仿宋_GB2312" w:hAnsi="仿宋_GB2312" w:eastAsia="仿宋_GB2312" w:cs="仿宋_GB2312"/>
          <w:sz w:val="32"/>
          <w:szCs w:val="32"/>
        </w:rPr>
        <w:t>n：推测年数，年。</w:t>
      </w:r>
      <w:bookmarkEnd w:id="263"/>
      <w:bookmarkEnd w:id="264"/>
      <w:bookmarkEnd w:id="265"/>
      <w:bookmarkEnd w:id="266"/>
      <w:bookmarkEnd w:id="267"/>
      <w:bookmarkEnd w:id="268"/>
      <w:bookmarkEnd w:id="269"/>
      <w:bookmarkEnd w:id="270"/>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对嘉峪关市，未来20年内的垃圾产生量预测如表1所示：</w:t>
      </w:r>
    </w:p>
    <w:p>
      <w:pPr>
        <w:pStyle w:val="2"/>
        <w:numPr>
          <w:ilvl w:val="3"/>
          <w:numId w:val="0"/>
        </w:numPr>
        <w:rPr>
          <w:lang w:val="en-US"/>
        </w:rPr>
      </w:pPr>
    </w:p>
    <w:p>
      <w:pPr>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p>
    <w:tbl>
      <w:tblPr>
        <w:tblStyle w:val="16"/>
        <w:tblW w:w="8370" w:type="dxa"/>
        <w:tblInd w:w="0" w:type="dxa"/>
        <w:tblLayout w:type="fixed"/>
        <w:tblCellMar>
          <w:top w:w="0" w:type="dxa"/>
          <w:left w:w="0" w:type="dxa"/>
          <w:bottom w:w="0" w:type="dxa"/>
          <w:right w:w="0" w:type="dxa"/>
        </w:tblCellMar>
      </w:tblPr>
      <w:tblGrid>
        <w:gridCol w:w="1140"/>
        <w:gridCol w:w="1845"/>
        <w:gridCol w:w="1560"/>
        <w:gridCol w:w="1950"/>
        <w:gridCol w:w="1875"/>
      </w:tblGrid>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年份</w:t>
            </w:r>
          </w:p>
        </w:tc>
        <w:tc>
          <w:tcPr>
            <w:tcW w:w="18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城市生活垃圾产生量：Yn（万吨/年）</w:t>
            </w:r>
          </w:p>
        </w:tc>
        <w:tc>
          <w:tcPr>
            <w:tcW w:w="156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日产垃圾量（t/d）</w:t>
            </w:r>
          </w:p>
        </w:tc>
        <w:tc>
          <w:tcPr>
            <w:tcW w:w="19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城市生活垃圾的产率或产出系数：yn（Kg/人*d）</w:t>
            </w:r>
          </w:p>
        </w:tc>
        <w:tc>
          <w:tcPr>
            <w:tcW w:w="18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城市人口数：pn（万人）</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2019</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8.49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232.50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0.93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25.00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2020</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8.76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239.88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0.95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25.25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2021</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9.03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247.35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0.97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25.50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2022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9.30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254.93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0.99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25.75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2023</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9.59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262.70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1.01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26.01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2024</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9.88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270.58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1.03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26.27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2025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10.17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278.57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1.05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26.53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2026</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10.47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286.76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1.07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26.80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2027</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10.77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294.95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1.09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27.06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2028</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11.07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303.36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1.11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27.33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2029</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11.38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311.88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1.13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27.60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2030</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11.80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323.41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1.16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27.88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2031</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12.12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332.17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1.18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28.15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2032</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12.45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341.16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1.20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28.43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2033</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12.89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353.26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1.23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28.72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2034</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13.23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362.50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1.25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29.00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2035</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13.68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374.91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1.28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29.29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2036</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14.04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384.54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1.30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29.58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年份</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城市生活垃圾产生量：Yn（万吨/年）</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日产垃圾量（t/d）</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城市生活垃圾的产率或产出系数：yn（Kg/人*d）</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城市人口数：pn（万人）</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2037</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14.51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397.40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1.33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29.88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2038</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14.87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407.43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1.35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30.18 </w:t>
            </w:r>
          </w:p>
        </w:tc>
      </w:tr>
      <w:tr>
        <w:tblPrEx>
          <w:tblCellMar>
            <w:top w:w="0" w:type="dxa"/>
            <w:left w:w="0" w:type="dxa"/>
            <w:bottom w:w="0" w:type="dxa"/>
            <w:right w:w="0" w:type="dxa"/>
          </w:tblCellMar>
        </w:tblPrEx>
        <w:trPr>
          <w:trHeight w:val="600" w:hRule="atLeast"/>
        </w:trPr>
        <w:tc>
          <w:tcPr>
            <w:tcW w:w="11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2039</w:t>
            </w:r>
          </w:p>
        </w:tc>
        <w:tc>
          <w:tcPr>
            <w:tcW w:w="18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15.35 </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420.62 </w:t>
            </w:r>
          </w:p>
        </w:tc>
        <w:tc>
          <w:tcPr>
            <w:tcW w:w="19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1.38 </w:t>
            </w:r>
          </w:p>
        </w:tc>
        <w:tc>
          <w:tcPr>
            <w:tcW w:w="18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30.48 </w:t>
            </w:r>
          </w:p>
        </w:tc>
      </w:tr>
    </w:tbl>
    <w:p>
      <w:bookmarkStart w:id="271" w:name="_Toc26014_WPSOffice_Level2"/>
      <w:bookmarkStart w:id="272" w:name="_Toc15311_WPSOffice_Level2"/>
      <w:bookmarkStart w:id="273" w:name="_Toc22109_WPSOffice_Level2"/>
      <w:bookmarkStart w:id="274" w:name="_Toc25666_WPSOffice_Level2"/>
      <w:bookmarkStart w:id="275" w:name="_Toc3425_WPSOffice_Level3"/>
      <w:bookmarkStart w:id="276" w:name="_Toc9744_WPSOffice_Level2"/>
    </w:p>
    <w:p>
      <w:pPr>
        <w:pStyle w:val="4"/>
        <w:spacing w:before="0" w:after="0" w:line="360" w:lineRule="auto"/>
        <w:ind w:firstLine="640" w:firstLineChars="200"/>
        <w:rPr>
          <w:rFonts w:ascii="黑体" w:hAnsi="黑体"/>
          <w:b w:val="0"/>
          <w:bCs/>
          <w:szCs w:val="32"/>
        </w:rPr>
      </w:pPr>
      <w:bookmarkStart w:id="277" w:name="_Toc5755_WPSOffice_Level2"/>
      <w:r>
        <w:rPr>
          <w:rFonts w:hint="eastAsia" w:ascii="黑体" w:hAnsi="黑体"/>
          <w:b w:val="0"/>
          <w:bCs/>
          <w:szCs w:val="32"/>
        </w:rPr>
        <w:t>4.4生活垃圾</w:t>
      </w:r>
      <w:bookmarkEnd w:id="271"/>
      <w:bookmarkEnd w:id="272"/>
      <w:bookmarkEnd w:id="273"/>
      <w:bookmarkEnd w:id="274"/>
      <w:bookmarkEnd w:id="275"/>
      <w:bookmarkEnd w:id="276"/>
      <w:r>
        <w:rPr>
          <w:rFonts w:hint="eastAsia" w:ascii="黑体" w:hAnsi="黑体"/>
          <w:b w:val="0"/>
          <w:bCs/>
          <w:szCs w:val="32"/>
        </w:rPr>
        <w:t>成分的分析</w:t>
      </w:r>
      <w:bookmarkEnd w:id="277"/>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城市生活垃圾的组分复杂，按其特征可大致分为有机物和无机物两大类别。</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根据嘉峪关市近几年垃圾产量及成分构成情况，主要成分以无机物为主，但生活垃圾有机成分在逐年增多，无机成分在逐年减少，垃圾含水率进一步增高，主要成分如下：</w:t>
      </w:r>
    </w:p>
    <w:p>
      <w:pPr>
        <w:ind w:firstLine="640" w:firstLineChars="200"/>
        <w:rPr>
          <w:rFonts w:ascii="仿宋_GB2312" w:hAnsi="仿宋_GB2312" w:eastAsia="仿宋_GB2312" w:cs="仿宋_GB2312"/>
          <w:sz w:val="32"/>
          <w:szCs w:val="32"/>
        </w:rPr>
      </w:pPr>
      <w:bookmarkStart w:id="278" w:name="_Toc398920832"/>
      <w:bookmarkStart w:id="279" w:name="_Toc12270_WPSOffice_Level2"/>
      <w:r>
        <w:rPr>
          <w:rFonts w:hint="eastAsia" w:ascii="仿宋_GB2312" w:hAnsi="仿宋_GB2312" w:eastAsia="仿宋_GB2312" w:cs="仿宋_GB2312"/>
          <w:sz w:val="32"/>
          <w:szCs w:val="32"/>
        </w:rPr>
        <w:t>表3-3-1  2019年生活垃圾有机物含量表（%）</w:t>
      </w:r>
      <w:bookmarkEnd w:id="278"/>
      <w:bookmarkEnd w:id="279"/>
    </w:p>
    <w:tbl>
      <w:tblPr>
        <w:tblStyle w:val="16"/>
        <w:tblW w:w="8849" w:type="dxa"/>
        <w:tblInd w:w="-13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0"/>
        <w:gridCol w:w="639"/>
        <w:gridCol w:w="666"/>
        <w:gridCol w:w="700"/>
        <w:gridCol w:w="676"/>
        <w:gridCol w:w="674"/>
        <w:gridCol w:w="734"/>
        <w:gridCol w:w="666"/>
        <w:gridCol w:w="717"/>
        <w:gridCol w:w="633"/>
        <w:gridCol w:w="684"/>
        <w:gridCol w:w="683"/>
        <w:gridCol w:w="7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96" w:hRule="exact"/>
        </w:trPr>
        <w:tc>
          <w:tcPr>
            <w:tcW w:w="66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成分</w:t>
            </w:r>
          </w:p>
        </w:tc>
        <w:tc>
          <w:tcPr>
            <w:tcW w:w="639"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菜叶</w:t>
            </w:r>
          </w:p>
        </w:tc>
        <w:tc>
          <w:tcPr>
            <w:tcW w:w="666"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瓜皮</w:t>
            </w:r>
          </w:p>
        </w:tc>
        <w:tc>
          <w:tcPr>
            <w:tcW w:w="70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废纸</w:t>
            </w:r>
          </w:p>
        </w:tc>
        <w:tc>
          <w:tcPr>
            <w:tcW w:w="676"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纤维</w:t>
            </w:r>
          </w:p>
        </w:tc>
        <w:tc>
          <w:tcPr>
            <w:tcW w:w="67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塑料</w:t>
            </w:r>
          </w:p>
        </w:tc>
        <w:tc>
          <w:tcPr>
            <w:tcW w:w="73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树叶</w:t>
            </w:r>
          </w:p>
        </w:tc>
        <w:tc>
          <w:tcPr>
            <w:tcW w:w="666"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皮革</w:t>
            </w:r>
          </w:p>
        </w:tc>
        <w:tc>
          <w:tcPr>
            <w:tcW w:w="717"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橡胶</w:t>
            </w:r>
          </w:p>
        </w:tc>
        <w:tc>
          <w:tcPr>
            <w:tcW w:w="633"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骨头</w:t>
            </w:r>
          </w:p>
        </w:tc>
        <w:tc>
          <w:tcPr>
            <w:tcW w:w="68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草木</w:t>
            </w:r>
          </w:p>
        </w:tc>
        <w:tc>
          <w:tcPr>
            <w:tcW w:w="683"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其他</w:t>
            </w:r>
          </w:p>
        </w:tc>
        <w:tc>
          <w:tcPr>
            <w:tcW w:w="717"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小计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7" w:hRule="exact"/>
        </w:trPr>
        <w:tc>
          <w:tcPr>
            <w:tcW w:w="66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占比</w:t>
            </w:r>
          </w:p>
        </w:tc>
        <w:tc>
          <w:tcPr>
            <w:tcW w:w="639"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11.5</w:t>
            </w:r>
          </w:p>
        </w:tc>
        <w:tc>
          <w:tcPr>
            <w:tcW w:w="666"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5.3</w:t>
            </w:r>
          </w:p>
        </w:tc>
        <w:tc>
          <w:tcPr>
            <w:tcW w:w="70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2.0</w:t>
            </w:r>
          </w:p>
        </w:tc>
        <w:tc>
          <w:tcPr>
            <w:tcW w:w="676"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1.0</w:t>
            </w:r>
          </w:p>
        </w:tc>
        <w:tc>
          <w:tcPr>
            <w:tcW w:w="67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2.4</w:t>
            </w:r>
          </w:p>
        </w:tc>
        <w:tc>
          <w:tcPr>
            <w:tcW w:w="73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4.8</w:t>
            </w:r>
          </w:p>
        </w:tc>
        <w:tc>
          <w:tcPr>
            <w:tcW w:w="666"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0.5</w:t>
            </w:r>
          </w:p>
        </w:tc>
        <w:tc>
          <w:tcPr>
            <w:tcW w:w="717"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0.5</w:t>
            </w:r>
          </w:p>
        </w:tc>
        <w:tc>
          <w:tcPr>
            <w:tcW w:w="633"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3.4</w:t>
            </w:r>
          </w:p>
        </w:tc>
        <w:tc>
          <w:tcPr>
            <w:tcW w:w="68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0.6</w:t>
            </w:r>
          </w:p>
        </w:tc>
        <w:tc>
          <w:tcPr>
            <w:tcW w:w="683"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0.2</w:t>
            </w:r>
          </w:p>
        </w:tc>
        <w:tc>
          <w:tcPr>
            <w:tcW w:w="717"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32.3</w:t>
            </w:r>
          </w:p>
        </w:tc>
      </w:tr>
    </w:tbl>
    <w:p>
      <w:pPr>
        <w:ind w:firstLine="640" w:firstLineChars="200"/>
        <w:rPr>
          <w:rFonts w:ascii="仿宋_GB2312" w:hAnsi="仿宋_GB2312" w:eastAsia="仿宋_GB2312" w:cs="仿宋_GB2312"/>
          <w:sz w:val="32"/>
          <w:szCs w:val="32"/>
        </w:rPr>
      </w:pPr>
      <w:bookmarkStart w:id="280" w:name="_Toc3425_WPSOffice_Level2"/>
      <w:bookmarkStart w:id="281" w:name="_Toc398920833"/>
      <w:r>
        <w:rPr>
          <w:rFonts w:hint="eastAsia" w:ascii="仿宋_GB2312" w:hAnsi="仿宋_GB2312" w:eastAsia="仿宋_GB2312" w:cs="仿宋_GB2312"/>
          <w:sz w:val="32"/>
          <w:szCs w:val="32"/>
        </w:rPr>
        <w:t>表3-3-2  2019年生活垃圾无机物含量表（%）</w:t>
      </w:r>
      <w:bookmarkEnd w:id="280"/>
      <w:bookmarkEnd w:id="281"/>
    </w:p>
    <w:tbl>
      <w:tblPr>
        <w:tblStyle w:val="16"/>
        <w:tblW w:w="87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1"/>
        <w:gridCol w:w="945"/>
        <w:gridCol w:w="990"/>
        <w:gridCol w:w="1065"/>
        <w:gridCol w:w="990"/>
        <w:gridCol w:w="1080"/>
        <w:gridCol w:w="915"/>
        <w:gridCol w:w="975"/>
        <w:gridCol w:w="94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1" w:hRule="exact"/>
          <w:jc w:val="center"/>
        </w:trPr>
        <w:tc>
          <w:tcPr>
            <w:tcW w:w="861"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成分</w:t>
            </w:r>
          </w:p>
        </w:tc>
        <w:tc>
          <w:tcPr>
            <w:tcW w:w="945"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砂石</w:t>
            </w:r>
          </w:p>
        </w:tc>
        <w:tc>
          <w:tcPr>
            <w:tcW w:w="99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砖瓦</w:t>
            </w:r>
          </w:p>
        </w:tc>
        <w:tc>
          <w:tcPr>
            <w:tcW w:w="1065"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煤灰</w:t>
            </w:r>
          </w:p>
        </w:tc>
        <w:tc>
          <w:tcPr>
            <w:tcW w:w="99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金属</w:t>
            </w:r>
          </w:p>
        </w:tc>
        <w:tc>
          <w:tcPr>
            <w:tcW w:w="108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玻璃</w:t>
            </w:r>
          </w:p>
        </w:tc>
        <w:tc>
          <w:tcPr>
            <w:tcW w:w="915"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陶瓷</w:t>
            </w:r>
          </w:p>
        </w:tc>
        <w:tc>
          <w:tcPr>
            <w:tcW w:w="975"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其它</w:t>
            </w:r>
          </w:p>
        </w:tc>
        <w:tc>
          <w:tcPr>
            <w:tcW w:w="947"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小计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80" w:hRule="exact"/>
          <w:jc w:val="center"/>
        </w:trPr>
        <w:tc>
          <w:tcPr>
            <w:tcW w:w="861"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占比</w:t>
            </w:r>
          </w:p>
        </w:tc>
        <w:tc>
          <w:tcPr>
            <w:tcW w:w="945"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25.4</w:t>
            </w:r>
          </w:p>
        </w:tc>
        <w:tc>
          <w:tcPr>
            <w:tcW w:w="99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20.4</w:t>
            </w:r>
          </w:p>
        </w:tc>
        <w:tc>
          <w:tcPr>
            <w:tcW w:w="1065"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17.2</w:t>
            </w:r>
          </w:p>
        </w:tc>
        <w:tc>
          <w:tcPr>
            <w:tcW w:w="99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0.3</w:t>
            </w:r>
          </w:p>
        </w:tc>
        <w:tc>
          <w:tcPr>
            <w:tcW w:w="108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3.9</w:t>
            </w:r>
          </w:p>
        </w:tc>
        <w:tc>
          <w:tcPr>
            <w:tcW w:w="915"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0.4</w:t>
            </w:r>
          </w:p>
        </w:tc>
        <w:tc>
          <w:tcPr>
            <w:tcW w:w="975"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0.05</w:t>
            </w:r>
          </w:p>
        </w:tc>
        <w:tc>
          <w:tcPr>
            <w:tcW w:w="947"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67.7</w:t>
            </w:r>
          </w:p>
        </w:tc>
      </w:tr>
    </w:tbl>
    <w:p>
      <w:pPr>
        <w:ind w:firstLine="640" w:firstLineChars="200"/>
        <w:rPr>
          <w:rFonts w:ascii="仿宋_GB2312" w:hAnsi="仿宋_GB2312" w:eastAsia="仿宋_GB2312" w:cs="仿宋_GB2312"/>
          <w:sz w:val="32"/>
          <w:szCs w:val="32"/>
        </w:rPr>
      </w:pPr>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表3-3-3  2039年生活垃圾有机物含量表（%）</w:t>
      </w:r>
    </w:p>
    <w:tbl>
      <w:tblPr>
        <w:tblStyle w:val="16"/>
        <w:tblW w:w="8849" w:type="dxa"/>
        <w:tblInd w:w="-13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0"/>
        <w:gridCol w:w="639"/>
        <w:gridCol w:w="666"/>
        <w:gridCol w:w="700"/>
        <w:gridCol w:w="676"/>
        <w:gridCol w:w="674"/>
        <w:gridCol w:w="734"/>
        <w:gridCol w:w="666"/>
        <w:gridCol w:w="717"/>
        <w:gridCol w:w="633"/>
        <w:gridCol w:w="684"/>
        <w:gridCol w:w="683"/>
        <w:gridCol w:w="7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96" w:hRule="exact"/>
        </w:trPr>
        <w:tc>
          <w:tcPr>
            <w:tcW w:w="66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成分</w:t>
            </w:r>
          </w:p>
        </w:tc>
        <w:tc>
          <w:tcPr>
            <w:tcW w:w="639"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菜叶</w:t>
            </w:r>
          </w:p>
        </w:tc>
        <w:tc>
          <w:tcPr>
            <w:tcW w:w="666"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瓜皮</w:t>
            </w:r>
          </w:p>
        </w:tc>
        <w:tc>
          <w:tcPr>
            <w:tcW w:w="70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废纸</w:t>
            </w:r>
          </w:p>
        </w:tc>
        <w:tc>
          <w:tcPr>
            <w:tcW w:w="676"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纤维</w:t>
            </w:r>
          </w:p>
        </w:tc>
        <w:tc>
          <w:tcPr>
            <w:tcW w:w="67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塑料</w:t>
            </w:r>
          </w:p>
        </w:tc>
        <w:tc>
          <w:tcPr>
            <w:tcW w:w="73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树叶</w:t>
            </w:r>
          </w:p>
        </w:tc>
        <w:tc>
          <w:tcPr>
            <w:tcW w:w="666"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皮革</w:t>
            </w:r>
          </w:p>
        </w:tc>
        <w:tc>
          <w:tcPr>
            <w:tcW w:w="717"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橡胶</w:t>
            </w:r>
          </w:p>
        </w:tc>
        <w:tc>
          <w:tcPr>
            <w:tcW w:w="633"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骨头</w:t>
            </w:r>
          </w:p>
        </w:tc>
        <w:tc>
          <w:tcPr>
            <w:tcW w:w="68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草木</w:t>
            </w:r>
          </w:p>
        </w:tc>
        <w:tc>
          <w:tcPr>
            <w:tcW w:w="683"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其他</w:t>
            </w:r>
          </w:p>
        </w:tc>
        <w:tc>
          <w:tcPr>
            <w:tcW w:w="717"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小计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7" w:hRule="exact"/>
        </w:trPr>
        <w:tc>
          <w:tcPr>
            <w:tcW w:w="66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占比</w:t>
            </w:r>
          </w:p>
        </w:tc>
        <w:tc>
          <w:tcPr>
            <w:tcW w:w="639"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12.5</w:t>
            </w:r>
          </w:p>
        </w:tc>
        <w:tc>
          <w:tcPr>
            <w:tcW w:w="666"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6.3</w:t>
            </w:r>
          </w:p>
        </w:tc>
        <w:tc>
          <w:tcPr>
            <w:tcW w:w="70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w:t>
            </w:r>
          </w:p>
        </w:tc>
        <w:tc>
          <w:tcPr>
            <w:tcW w:w="676"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1.5</w:t>
            </w:r>
          </w:p>
        </w:tc>
        <w:tc>
          <w:tcPr>
            <w:tcW w:w="67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3.4</w:t>
            </w:r>
          </w:p>
        </w:tc>
        <w:tc>
          <w:tcPr>
            <w:tcW w:w="73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4.8</w:t>
            </w:r>
          </w:p>
        </w:tc>
        <w:tc>
          <w:tcPr>
            <w:tcW w:w="666"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0.7</w:t>
            </w:r>
          </w:p>
        </w:tc>
        <w:tc>
          <w:tcPr>
            <w:tcW w:w="717"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0.7</w:t>
            </w:r>
          </w:p>
        </w:tc>
        <w:tc>
          <w:tcPr>
            <w:tcW w:w="633"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4</w:t>
            </w:r>
          </w:p>
        </w:tc>
        <w:tc>
          <w:tcPr>
            <w:tcW w:w="68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0.6</w:t>
            </w:r>
          </w:p>
        </w:tc>
        <w:tc>
          <w:tcPr>
            <w:tcW w:w="683"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0.2</w:t>
            </w:r>
          </w:p>
        </w:tc>
        <w:tc>
          <w:tcPr>
            <w:tcW w:w="717"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36.7</w:t>
            </w:r>
          </w:p>
        </w:tc>
      </w:tr>
    </w:tbl>
    <w:p>
      <w:pPr>
        <w:ind w:firstLine="640" w:firstLineChars="200"/>
        <w:rPr>
          <w:rFonts w:ascii="仿宋_GB2312" w:hAnsi="仿宋_GB2312" w:eastAsia="仿宋_GB2312" w:cs="仿宋_GB2312"/>
          <w:sz w:val="32"/>
          <w:szCs w:val="32"/>
        </w:rPr>
      </w:pPr>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表3-3-4  2039年生活垃圾无机物含量表（%）</w:t>
      </w:r>
    </w:p>
    <w:tbl>
      <w:tblPr>
        <w:tblStyle w:val="16"/>
        <w:tblW w:w="87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1"/>
        <w:gridCol w:w="945"/>
        <w:gridCol w:w="990"/>
        <w:gridCol w:w="1065"/>
        <w:gridCol w:w="990"/>
        <w:gridCol w:w="1080"/>
        <w:gridCol w:w="915"/>
        <w:gridCol w:w="975"/>
        <w:gridCol w:w="94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51" w:hRule="exact"/>
          <w:jc w:val="center"/>
        </w:trPr>
        <w:tc>
          <w:tcPr>
            <w:tcW w:w="861"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成分</w:t>
            </w:r>
          </w:p>
        </w:tc>
        <w:tc>
          <w:tcPr>
            <w:tcW w:w="945"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砂石</w:t>
            </w:r>
          </w:p>
        </w:tc>
        <w:tc>
          <w:tcPr>
            <w:tcW w:w="99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砖瓦</w:t>
            </w:r>
          </w:p>
        </w:tc>
        <w:tc>
          <w:tcPr>
            <w:tcW w:w="1065"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煤灰</w:t>
            </w:r>
          </w:p>
        </w:tc>
        <w:tc>
          <w:tcPr>
            <w:tcW w:w="99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金属</w:t>
            </w:r>
          </w:p>
        </w:tc>
        <w:tc>
          <w:tcPr>
            <w:tcW w:w="108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玻璃</w:t>
            </w:r>
          </w:p>
        </w:tc>
        <w:tc>
          <w:tcPr>
            <w:tcW w:w="915"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陶瓷</w:t>
            </w:r>
          </w:p>
        </w:tc>
        <w:tc>
          <w:tcPr>
            <w:tcW w:w="975"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其它</w:t>
            </w:r>
          </w:p>
        </w:tc>
        <w:tc>
          <w:tcPr>
            <w:tcW w:w="947"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小计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80" w:hRule="exact"/>
          <w:jc w:val="center"/>
        </w:trPr>
        <w:tc>
          <w:tcPr>
            <w:tcW w:w="861"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占比</w:t>
            </w:r>
          </w:p>
        </w:tc>
        <w:tc>
          <w:tcPr>
            <w:tcW w:w="945"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22.4</w:t>
            </w:r>
          </w:p>
        </w:tc>
        <w:tc>
          <w:tcPr>
            <w:tcW w:w="99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18.4</w:t>
            </w:r>
          </w:p>
        </w:tc>
        <w:tc>
          <w:tcPr>
            <w:tcW w:w="1065"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14.2</w:t>
            </w:r>
          </w:p>
        </w:tc>
        <w:tc>
          <w:tcPr>
            <w:tcW w:w="99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0.4</w:t>
            </w:r>
          </w:p>
        </w:tc>
        <w:tc>
          <w:tcPr>
            <w:tcW w:w="108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5.9</w:t>
            </w:r>
          </w:p>
        </w:tc>
        <w:tc>
          <w:tcPr>
            <w:tcW w:w="915"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w:t>
            </w:r>
          </w:p>
        </w:tc>
        <w:tc>
          <w:tcPr>
            <w:tcW w:w="975"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0.05</w:t>
            </w:r>
          </w:p>
        </w:tc>
        <w:tc>
          <w:tcPr>
            <w:tcW w:w="947"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62.3</w:t>
            </w:r>
          </w:p>
        </w:tc>
      </w:tr>
    </w:tbl>
    <w:p>
      <w:pPr>
        <w:pStyle w:val="21"/>
        <w:ind w:firstLine="540"/>
      </w:pPr>
    </w:p>
    <w:p>
      <w:pPr>
        <w:pStyle w:val="4"/>
        <w:spacing w:before="0" w:after="0" w:line="360" w:lineRule="auto"/>
        <w:ind w:firstLine="640" w:firstLineChars="200"/>
        <w:rPr>
          <w:rFonts w:ascii="黑体" w:hAnsi="黑体"/>
          <w:b w:val="0"/>
          <w:bCs/>
          <w:szCs w:val="32"/>
        </w:rPr>
      </w:pPr>
      <w:bookmarkStart w:id="282" w:name="_Toc29106_WPSOffice_Level2"/>
      <w:bookmarkStart w:id="283" w:name="_Toc8026_WPSOffice_Level2"/>
      <w:bookmarkStart w:id="284" w:name="_Toc15332_WPSOffice_Level2"/>
      <w:bookmarkStart w:id="285" w:name="_Toc8882_WPSOffice_Level2"/>
      <w:bookmarkStart w:id="286" w:name="_Toc23018_WPSOffice_Level2"/>
      <w:bookmarkStart w:id="287" w:name="_Toc7150_WPSOffice_Level2"/>
      <w:bookmarkStart w:id="288" w:name="_Toc1273_WPSOffice_Level2"/>
      <w:r>
        <w:rPr>
          <w:rFonts w:hint="eastAsia" w:ascii="黑体" w:hAnsi="黑体"/>
          <w:b w:val="0"/>
          <w:bCs/>
          <w:szCs w:val="32"/>
        </w:rPr>
        <w:t>4.5生活垃圾处理规模</w:t>
      </w:r>
      <w:bookmarkEnd w:id="282"/>
    </w:p>
    <w:p>
      <w:pPr>
        <w:spacing w:line="578" w:lineRule="exact"/>
        <w:ind w:firstLine="640" w:firstLineChars="200"/>
        <w:rPr>
          <w:rFonts w:ascii="仿宋_GB2312" w:hAnsi="仿宋_GB2312" w:eastAsia="仿宋_GB2312" w:cs="仿宋_GB2312"/>
          <w:sz w:val="32"/>
          <w:szCs w:val="32"/>
        </w:rPr>
      </w:pPr>
      <w:bookmarkStart w:id="289" w:name="_Toc30219_WPSOffice_Level3"/>
      <w:bookmarkStart w:id="290" w:name="_Toc11463_WPSOffice_Level3"/>
      <w:bookmarkStart w:id="291" w:name="_Toc7937_WPSOffice_Level3"/>
      <w:r>
        <w:rPr>
          <w:rFonts w:hint="eastAsia" w:ascii="仿宋_GB2312" w:hAnsi="仿宋_GB2312" w:eastAsia="仿宋_GB2312" w:cs="仿宋_GB2312"/>
          <w:sz w:val="32"/>
          <w:szCs w:val="32"/>
        </w:rPr>
        <w:t>4.5.1总体目标</w:t>
      </w:r>
      <w:bookmarkEnd w:id="283"/>
      <w:bookmarkEnd w:id="284"/>
      <w:bookmarkEnd w:id="285"/>
      <w:bookmarkEnd w:id="286"/>
      <w:bookmarkEnd w:id="287"/>
      <w:bookmarkEnd w:id="288"/>
      <w:bookmarkEnd w:id="289"/>
      <w:bookmarkEnd w:id="290"/>
      <w:bookmarkEnd w:id="291"/>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到2019年底，各区生活垃圾分类质量达标小区占已分类小区的75%以上；生活垃圾回收利用率达到30%。</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到2020年底，城区范围内全部实行生活垃圾强制分类，基本建立垃圾分类相关规章制度，生活垃圾回收利用率达到35%以上，垃圾分类综合治理，全民参与的氛围基本形成。</w:t>
      </w:r>
    </w:p>
    <w:p>
      <w:pPr>
        <w:spacing w:line="578" w:lineRule="exact"/>
        <w:ind w:firstLine="640" w:firstLineChars="200"/>
        <w:rPr>
          <w:rFonts w:ascii="仿宋_GB2312" w:hAnsi="仿宋_GB2312" w:eastAsia="仿宋_GB2312" w:cs="仿宋_GB2312"/>
          <w:sz w:val="32"/>
          <w:szCs w:val="32"/>
        </w:rPr>
      </w:pPr>
      <w:bookmarkStart w:id="292" w:name="_Toc16970_WPSOffice_Level2"/>
      <w:bookmarkStart w:id="293" w:name="_Toc28153_WPSOffice_Level2"/>
      <w:bookmarkStart w:id="294" w:name="_Toc9532_WPSOffice_Level2"/>
      <w:bookmarkStart w:id="295" w:name="_Toc16559_WPSOffice_Level3"/>
      <w:bookmarkStart w:id="296" w:name="_Toc475_WPSOffice_Level3"/>
      <w:bookmarkStart w:id="297" w:name="_Toc15370_WPSOffice_Level2"/>
      <w:bookmarkStart w:id="298" w:name="_Toc24267_WPSOffice_Level2"/>
      <w:bookmarkStart w:id="299" w:name="_Toc21289_WPSOffice_Level2"/>
      <w:bookmarkStart w:id="300" w:name="_Toc22419_WPSOffice_Level3"/>
      <w:r>
        <w:rPr>
          <w:rFonts w:hint="eastAsia" w:ascii="仿宋_GB2312" w:hAnsi="仿宋_GB2312" w:eastAsia="仿宋_GB2312" w:cs="仿宋_GB2312"/>
          <w:sz w:val="32"/>
          <w:szCs w:val="32"/>
        </w:rPr>
        <w:t>4.5.2项目定位</w:t>
      </w:r>
      <w:bookmarkEnd w:id="292"/>
      <w:bookmarkEnd w:id="293"/>
      <w:bookmarkEnd w:id="294"/>
      <w:bookmarkEnd w:id="295"/>
      <w:bookmarkEnd w:id="296"/>
      <w:bookmarkEnd w:id="297"/>
      <w:bookmarkEnd w:id="298"/>
      <w:bookmarkEnd w:id="299"/>
      <w:bookmarkEnd w:id="300"/>
    </w:p>
    <w:p>
      <w:pPr>
        <w:spacing w:line="578" w:lineRule="exact"/>
        <w:ind w:firstLine="640" w:firstLineChars="200"/>
        <w:rPr>
          <w:rFonts w:ascii="仿宋_GB2312" w:hAnsi="仿宋_GB2312" w:eastAsia="仿宋_GB2312" w:cs="仿宋_GB2312"/>
          <w:sz w:val="32"/>
          <w:szCs w:val="32"/>
        </w:rPr>
      </w:pPr>
      <w:bookmarkStart w:id="301" w:name="_Toc22428_WPSOffice_Level3"/>
      <w:bookmarkStart w:id="302" w:name="_Toc26523"/>
      <w:bookmarkStart w:id="303" w:name="_Toc5780"/>
      <w:bookmarkStart w:id="304" w:name="_Toc30972_WPSOffice_Level3"/>
      <w:bookmarkStart w:id="305" w:name="_Toc28746_WPSOffice_Level3"/>
      <w:bookmarkStart w:id="306" w:name="_Toc13670"/>
      <w:bookmarkStart w:id="307" w:name="_Toc20707"/>
      <w:bookmarkStart w:id="308" w:name="_Toc28195"/>
      <w:bookmarkStart w:id="309" w:name="_Toc1926"/>
      <w:bookmarkStart w:id="310" w:name="_Toc460"/>
      <w:bookmarkStart w:id="311" w:name="_Toc19493_WPSOffice_Level3"/>
      <w:bookmarkStart w:id="312" w:name="_Toc491681122"/>
      <w:bookmarkStart w:id="313" w:name="_Toc10570"/>
      <w:bookmarkStart w:id="314" w:name="_Toc7870"/>
      <w:bookmarkStart w:id="315" w:name="_Toc9246"/>
      <w:bookmarkStart w:id="316" w:name="_Toc24502_WPSOffice_Level3"/>
      <w:bookmarkStart w:id="317" w:name="_Toc12322_WPSOffice_Level3"/>
      <w:bookmarkStart w:id="318" w:name="_Toc28407"/>
      <w:bookmarkStart w:id="319" w:name="_Toc7254"/>
      <w:bookmarkStart w:id="320" w:name="_Toc4630"/>
      <w:bookmarkStart w:id="321" w:name="_Toc11227"/>
      <w:bookmarkStart w:id="322" w:name="_Toc491681402"/>
      <w:bookmarkStart w:id="323" w:name="_Toc7735"/>
      <w:r>
        <w:rPr>
          <w:rFonts w:hint="eastAsia" w:ascii="仿宋_GB2312" w:hAnsi="仿宋_GB2312" w:eastAsia="仿宋_GB2312" w:cs="仿宋_GB2312"/>
          <w:sz w:val="32"/>
          <w:szCs w:val="32"/>
        </w:rPr>
        <w:t>（1）总体定位</w:t>
      </w:r>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本项目旨在通过城市生活分类处理，达到全域全城无垃圾创建工作，全力营造干净整洁、健康有序的人居环境，持续巩固提升文明城市良好形象。</w:t>
      </w:r>
    </w:p>
    <w:p>
      <w:pPr>
        <w:spacing w:line="578" w:lineRule="exact"/>
        <w:ind w:firstLine="640" w:firstLineChars="200"/>
        <w:rPr>
          <w:rFonts w:ascii="仿宋_GB2312" w:hAnsi="仿宋_GB2312" w:eastAsia="仿宋_GB2312" w:cs="仿宋_GB2312"/>
          <w:sz w:val="32"/>
          <w:szCs w:val="32"/>
        </w:rPr>
      </w:pPr>
      <w:bookmarkStart w:id="324" w:name="_Toc12723_WPSOffice_Level3"/>
      <w:bookmarkStart w:id="325" w:name="_Toc5553"/>
      <w:bookmarkStart w:id="326" w:name="_Toc13661_WPSOffice_Level3"/>
      <w:bookmarkStart w:id="327" w:name="_Toc5980"/>
      <w:bookmarkStart w:id="328" w:name="_Toc27289"/>
      <w:bookmarkStart w:id="329" w:name="_Toc16618_WPSOffice_Level3"/>
      <w:bookmarkStart w:id="330" w:name="_Toc25198"/>
      <w:bookmarkStart w:id="331" w:name="_Toc6906_WPSOffice_Level3"/>
      <w:bookmarkStart w:id="332" w:name="_Toc5419"/>
      <w:bookmarkStart w:id="333" w:name="_Toc31644_WPSOffice_Level3"/>
      <w:bookmarkStart w:id="334" w:name="_Toc14484_WPSOffice_Level3"/>
      <w:bookmarkStart w:id="335" w:name="_Toc28519"/>
      <w:r>
        <w:rPr>
          <w:rFonts w:hint="eastAsia" w:ascii="仿宋_GB2312" w:hAnsi="仿宋_GB2312" w:eastAsia="仿宋_GB2312" w:cs="仿宋_GB2312"/>
          <w:sz w:val="32"/>
          <w:szCs w:val="32"/>
        </w:rPr>
        <w:t>（2）服务功能定位</w:t>
      </w:r>
      <w:bookmarkEnd w:id="324"/>
      <w:bookmarkEnd w:id="325"/>
      <w:bookmarkEnd w:id="326"/>
      <w:bookmarkEnd w:id="327"/>
      <w:bookmarkEnd w:id="328"/>
      <w:bookmarkEnd w:id="329"/>
      <w:bookmarkEnd w:id="330"/>
      <w:bookmarkEnd w:id="331"/>
      <w:bookmarkEnd w:id="332"/>
      <w:bookmarkEnd w:id="333"/>
      <w:bookmarkEnd w:id="334"/>
      <w:bookmarkEnd w:id="335"/>
    </w:p>
    <w:p>
      <w:pPr>
        <w:spacing w:line="578" w:lineRule="exact"/>
        <w:ind w:firstLine="640" w:firstLineChars="200"/>
        <w:rPr>
          <w:rFonts w:ascii="仿宋_GB2312" w:hAnsi="仿宋_GB2312" w:eastAsia="仿宋_GB2312" w:cs="仿宋_GB2312"/>
          <w:sz w:val="32"/>
          <w:szCs w:val="32"/>
        </w:rPr>
      </w:pPr>
      <w:bookmarkStart w:id="336" w:name="_Toc25831"/>
      <w:bookmarkStart w:id="337" w:name="_Toc4073"/>
      <w:bookmarkStart w:id="338" w:name="_Toc28690"/>
      <w:r>
        <w:rPr>
          <w:rFonts w:hint="eastAsia" w:ascii="仿宋_GB2312" w:hAnsi="仿宋_GB2312" w:eastAsia="仿宋_GB2312" w:cs="仿宋_GB2312"/>
          <w:sz w:val="32"/>
          <w:szCs w:val="32"/>
        </w:rPr>
        <w:t>建立垃圾分类处理系统，为城市生活垃圾的分类处理提供保障，解决嘉峪关市城市生活垃圾分类处理的问题，构建“资源—产品—资源”的循环生态链，努力打造宜居宜游宜业的城市环境。</w:t>
      </w:r>
    </w:p>
    <w:p>
      <w:pPr>
        <w:spacing w:line="578" w:lineRule="exact"/>
        <w:ind w:firstLine="640" w:firstLineChars="200"/>
        <w:rPr>
          <w:rFonts w:ascii="仿宋_GB2312" w:hAnsi="仿宋_GB2312" w:eastAsia="仿宋_GB2312" w:cs="仿宋_GB2312"/>
          <w:sz w:val="32"/>
          <w:szCs w:val="32"/>
        </w:rPr>
      </w:pPr>
      <w:bookmarkStart w:id="339" w:name="_Toc25843_WPSOffice_Level3"/>
      <w:bookmarkStart w:id="340" w:name="_Toc27153_WPSOffice_Level3"/>
      <w:bookmarkStart w:id="341" w:name="_Toc4626_WPSOffice_Level3"/>
      <w:r>
        <w:rPr>
          <w:rFonts w:hint="eastAsia" w:ascii="仿宋_GB2312" w:hAnsi="仿宋_GB2312" w:eastAsia="仿宋_GB2312" w:cs="仿宋_GB2312"/>
          <w:sz w:val="32"/>
          <w:szCs w:val="32"/>
        </w:rPr>
        <w:t>4.5.3生活垃圾产量</w:t>
      </w:r>
      <w:bookmarkEnd w:id="339"/>
      <w:bookmarkEnd w:id="340"/>
      <w:bookmarkEnd w:id="341"/>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根据前述生活垃圾量预测结果显示，2019年至2039年平均生活垃圾日产量为350t/d，其中餐厨垃圾45.96t/d，年均生活垃圾产量为12.19万吨/年，其中餐厨垃圾1.68万吨/年。</w:t>
      </w:r>
    </w:p>
    <w:p>
      <w:pPr>
        <w:pStyle w:val="4"/>
        <w:spacing w:before="0" w:after="0" w:line="360" w:lineRule="auto"/>
        <w:ind w:firstLine="640" w:firstLineChars="200"/>
        <w:rPr>
          <w:rFonts w:ascii="黑体" w:hAnsi="黑体"/>
          <w:b w:val="0"/>
          <w:bCs/>
          <w:szCs w:val="32"/>
        </w:rPr>
      </w:pPr>
      <w:bookmarkStart w:id="342" w:name="_Toc4357_WPSOffice_Level2"/>
      <w:bookmarkStart w:id="343" w:name="_Toc9340_WPSOffice_Level2"/>
      <w:bookmarkStart w:id="344" w:name="_Toc28441_WPSOffice_Level2"/>
      <w:bookmarkStart w:id="345" w:name="_Toc10170_WPSOffice_Level2"/>
      <w:r>
        <w:rPr>
          <w:rFonts w:hint="eastAsia" w:ascii="黑体" w:hAnsi="黑体"/>
          <w:b w:val="0"/>
          <w:bCs/>
          <w:szCs w:val="32"/>
        </w:rPr>
        <w:t>4.6分拣中心建设规模</w:t>
      </w:r>
      <w:bookmarkEnd w:id="342"/>
      <w:bookmarkEnd w:id="343"/>
      <w:bookmarkEnd w:id="344"/>
      <w:bookmarkEnd w:id="345"/>
    </w:p>
    <w:bookmarkEnd w:id="336"/>
    <w:bookmarkEnd w:id="337"/>
    <w:bookmarkEnd w:id="338"/>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宜设置一座小型综合分拣中心，厂区拟建设规模约为5000㎡,总占地面积约12000㎡。分拣中心包含办公、生活用房，生产、教育展示、交易、物流等区域；生活区与办公区相互隔离，距离满足安全防护要求。并规划设置建设原料区、分拣区、加工区、质检区、成品区、运输区、有毒有害垃圾临时存放区。厂址选择位于创业大道以南，东经二路以西。</w:t>
      </w:r>
    </w:p>
    <w:p>
      <w:pPr>
        <w:spacing w:line="578" w:lineRule="exact"/>
        <w:ind w:firstLine="640" w:firstLineChars="200"/>
        <w:rPr>
          <w:rFonts w:ascii="仿宋_GB2312" w:hAnsi="仿宋_GB2312" w:eastAsia="仿宋_GB2312" w:cs="仿宋_GB2312"/>
          <w:sz w:val="32"/>
          <w:szCs w:val="32"/>
        </w:rPr>
      </w:pPr>
    </w:p>
    <w:p>
      <w:pPr>
        <w:spacing w:line="578" w:lineRule="exact"/>
        <w:ind w:firstLine="640" w:firstLineChars="200"/>
        <w:rPr>
          <w:rFonts w:ascii="仿宋_GB2312" w:hAnsi="仿宋_GB2312" w:eastAsia="仿宋_GB2312" w:cs="仿宋_GB2312"/>
          <w:sz w:val="32"/>
          <w:szCs w:val="32"/>
        </w:rPr>
      </w:pPr>
    </w:p>
    <w:p>
      <w:pPr>
        <w:spacing w:line="578" w:lineRule="exact"/>
        <w:ind w:firstLine="640" w:firstLineChars="200"/>
        <w:rPr>
          <w:rFonts w:ascii="仿宋_GB2312" w:hAnsi="仿宋_GB2312" w:eastAsia="仿宋_GB2312" w:cs="仿宋_GB2312"/>
          <w:sz w:val="32"/>
          <w:szCs w:val="32"/>
        </w:rPr>
      </w:pPr>
    </w:p>
    <w:p>
      <w:pPr>
        <w:pStyle w:val="3"/>
        <w:spacing w:beforeLines="100" w:afterLines="100" w:line="578" w:lineRule="exact"/>
        <w:jc w:val="center"/>
        <w:rPr>
          <w:rFonts w:ascii="宋体" w:hAnsi="宋体" w:eastAsia="宋体" w:cs="宋体"/>
          <w:sz w:val="36"/>
          <w:szCs w:val="36"/>
        </w:rPr>
      </w:pPr>
      <w:bookmarkStart w:id="346" w:name="_Toc28676_WPSOffice_Level1"/>
      <w:r>
        <w:rPr>
          <w:rFonts w:hint="eastAsia" w:ascii="宋体" w:hAnsi="宋体" w:eastAsia="宋体" w:cs="宋体"/>
          <w:sz w:val="36"/>
          <w:szCs w:val="36"/>
        </w:rPr>
        <w:t>第五章  项目地区建设条件</w:t>
      </w:r>
      <w:bookmarkEnd w:id="257"/>
      <w:bookmarkEnd w:id="258"/>
      <w:bookmarkEnd w:id="259"/>
      <w:bookmarkEnd w:id="260"/>
      <w:bookmarkEnd w:id="261"/>
      <w:bookmarkEnd w:id="262"/>
      <w:bookmarkEnd w:id="346"/>
      <w:bookmarkStart w:id="347" w:name="_Toc29599_WPSOffice_Level2"/>
      <w:bookmarkStart w:id="348" w:name="_Toc20665_WPSOffice_Level2"/>
      <w:bookmarkStart w:id="349" w:name="_Toc15523_WPSOffice_Level2"/>
      <w:bookmarkStart w:id="350" w:name="_Toc7547_WPSOffice_Level2"/>
    </w:p>
    <w:p>
      <w:pPr>
        <w:pStyle w:val="4"/>
        <w:spacing w:before="0" w:after="0" w:line="360" w:lineRule="auto"/>
        <w:ind w:firstLine="640" w:firstLineChars="200"/>
        <w:rPr>
          <w:rFonts w:ascii="黑体" w:hAnsi="黑体"/>
          <w:b w:val="0"/>
          <w:bCs/>
          <w:szCs w:val="32"/>
        </w:rPr>
      </w:pPr>
      <w:bookmarkStart w:id="351" w:name="_Toc25606_WPSOffice_Level2"/>
      <w:bookmarkStart w:id="352" w:name="_Toc20815_WPSOffice_Level2"/>
      <w:bookmarkStart w:id="353" w:name="_Toc14544_WPSOffice_Level2"/>
      <w:r>
        <w:rPr>
          <w:rFonts w:hint="eastAsia" w:ascii="黑体" w:hAnsi="黑体"/>
          <w:b w:val="0"/>
          <w:bCs/>
          <w:szCs w:val="32"/>
        </w:rPr>
        <w:t>5.1 区位条件</w:t>
      </w:r>
      <w:bookmarkEnd w:id="347"/>
      <w:bookmarkEnd w:id="348"/>
      <w:bookmarkEnd w:id="349"/>
      <w:bookmarkEnd w:id="350"/>
      <w:bookmarkEnd w:id="351"/>
      <w:bookmarkEnd w:id="352"/>
      <w:bookmarkEnd w:id="353"/>
      <w:r>
        <w:rPr>
          <w:rFonts w:hint="eastAsia" w:ascii="黑体" w:hAnsi="黑体"/>
          <w:b w:val="0"/>
          <w:bCs/>
          <w:szCs w:val="32"/>
        </w:rPr>
        <w:t xml:space="preserve"> </w:t>
      </w:r>
    </w:p>
    <w:p>
      <w:pPr>
        <w:pStyle w:val="24"/>
        <w:ind w:firstLine="0" w:firstLineChars="0"/>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22240" cy="3525520"/>
            <wp:effectExtent l="0" t="0" r="16510" b="17780"/>
            <wp:docPr id="5" name="图片 5" descr="1b5715277844cca305d59e41660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b5715277844cca305d59e416608328"/>
                    <pic:cNvPicPr>
                      <a:picLocks noChangeAspect="1"/>
                    </pic:cNvPicPr>
                  </pic:nvPicPr>
                  <pic:blipFill>
                    <a:blip r:embed="rId31" cstate="print"/>
                    <a:stretch>
                      <a:fillRect/>
                    </a:stretch>
                  </pic:blipFill>
                  <pic:spPr>
                    <a:xfrm>
                      <a:off x="0" y="0"/>
                      <a:ext cx="5222240" cy="3525520"/>
                    </a:xfrm>
                    <a:prstGeom prst="rect">
                      <a:avLst/>
                    </a:prstGeom>
                  </pic:spPr>
                </pic:pic>
              </a:graphicData>
            </a:graphic>
          </wp:inline>
        </w:drawing>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位于甘肃省西北部，河西走廊中段。东与酒泉市肃州区接壤，距甘肃省省会兰州760公里；西连石油城玉门市，至新疆哈密650公里；南倚祁连山与肃南裕固族自治县接壤；北枕黑山，与酒泉市金塔县相连接。地处北纬39°37′58″至39°50′29″，东经97°49′52″至98°31′24″之间。东西最长40公里，南北最宽35公里，全市面积2935平方公里(不含镜铁山矿区和西沟矿区）。全市海拔在1412－2722米之间，绿洲分布于海拔1450－1700米之间，城市中心海拔1462米。</w:t>
      </w:r>
    </w:p>
    <w:p>
      <w:pPr>
        <w:pStyle w:val="4"/>
        <w:spacing w:before="0" w:after="0" w:line="360" w:lineRule="auto"/>
        <w:ind w:firstLine="640" w:firstLineChars="200"/>
        <w:rPr>
          <w:rFonts w:ascii="黑体" w:hAnsi="黑体"/>
          <w:b w:val="0"/>
          <w:bCs/>
          <w:szCs w:val="32"/>
        </w:rPr>
      </w:pPr>
      <w:bookmarkStart w:id="354" w:name="_Toc20914_WPSOffice_Level2"/>
      <w:bookmarkStart w:id="355" w:name="_Toc12274_WPSOffice_Level2"/>
      <w:bookmarkStart w:id="356" w:name="_Toc19771_WPSOffice_Level2"/>
      <w:bookmarkStart w:id="357" w:name="_Toc23734_WPSOffice_Level2"/>
      <w:bookmarkStart w:id="358" w:name="_Toc25442_WPSOffice_Level2"/>
      <w:bookmarkStart w:id="359" w:name="_Toc24533_WPSOffice_Level2"/>
      <w:bookmarkStart w:id="360" w:name="_Toc13222_WPSOffice_Level2"/>
      <w:r>
        <w:rPr>
          <w:rFonts w:hint="eastAsia" w:ascii="黑体" w:hAnsi="黑体"/>
          <w:b w:val="0"/>
          <w:bCs/>
          <w:szCs w:val="32"/>
        </w:rPr>
        <w:t>5.2 自然地理</w:t>
      </w:r>
      <w:bookmarkEnd w:id="354"/>
      <w:bookmarkEnd w:id="355"/>
      <w:bookmarkEnd w:id="356"/>
      <w:bookmarkEnd w:id="357"/>
      <w:bookmarkEnd w:id="358"/>
      <w:bookmarkEnd w:id="359"/>
      <w:bookmarkEnd w:id="360"/>
      <w:r>
        <w:rPr>
          <w:rFonts w:hint="eastAsia" w:ascii="黑体" w:hAnsi="黑体"/>
          <w:b w:val="0"/>
          <w:bCs/>
          <w:szCs w:val="32"/>
        </w:rPr>
        <w:t xml:space="preserve"> </w:t>
      </w:r>
    </w:p>
    <w:p>
      <w:pPr>
        <w:spacing w:line="578" w:lineRule="exact"/>
        <w:ind w:firstLine="640" w:firstLineChars="200"/>
        <w:rPr>
          <w:rFonts w:ascii="仿宋_GB2312" w:hAnsi="仿宋_GB2312" w:eastAsia="仿宋_GB2312" w:cs="仿宋_GB2312"/>
          <w:sz w:val="32"/>
          <w:szCs w:val="32"/>
        </w:rPr>
      </w:pPr>
      <w:bookmarkStart w:id="361" w:name="_Toc8333_WPSOffice_Level3"/>
      <w:bookmarkStart w:id="362" w:name="_Toc13860_WPSOffice_Level3"/>
      <w:bookmarkStart w:id="363" w:name="_Toc18618_WPSOffice_Level3"/>
      <w:bookmarkStart w:id="364" w:name="_Toc27438_WPSOffice_Level3"/>
      <w:bookmarkStart w:id="365" w:name="_Toc15523_WPSOffice_Level3"/>
      <w:bookmarkStart w:id="366" w:name="_Toc23542_WPSOffice_Level3"/>
      <w:bookmarkStart w:id="367" w:name="_Toc27664_WPSOffice_Level3"/>
      <w:bookmarkStart w:id="368" w:name="_Toc29825_WPSOffice_Level3"/>
      <w:bookmarkStart w:id="369" w:name="_Toc18001_WPSOffice_Level3"/>
      <w:r>
        <w:rPr>
          <w:rFonts w:hint="eastAsia" w:ascii="仿宋_GB2312" w:hAnsi="仿宋_GB2312" w:eastAsia="仿宋_GB2312" w:cs="仿宋_GB2312"/>
          <w:sz w:val="32"/>
          <w:szCs w:val="32"/>
        </w:rPr>
        <w:t>5.2.1气候条件</w:t>
      </w:r>
      <w:bookmarkEnd w:id="361"/>
      <w:bookmarkEnd w:id="362"/>
      <w:bookmarkEnd w:id="363"/>
      <w:bookmarkEnd w:id="364"/>
      <w:bookmarkEnd w:id="365"/>
      <w:bookmarkEnd w:id="366"/>
      <w:bookmarkEnd w:id="367"/>
      <w:bookmarkEnd w:id="368"/>
      <w:bookmarkEnd w:id="369"/>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属温带大陆性荒漠气候，年均气温在6.7℃—7.7℃之间，极端最高气温38.7℃（1973年7月31日），最低气温-31.6℃（1952年2月18日）。昼夜温差10-15℃。年日照8000小时。自然降水量年平均85.3毫米，蒸发量2149毫米，年平均蒸发量约为降水量的25倍。全年无霜期130天左右。主要气候特征为：日照时间长而强烈，昼夜温差大，气候干燥，降水少而蒸发快，多大风，属典型的戈壁荒漠气候。</w:t>
      </w:r>
    </w:p>
    <w:p>
      <w:pPr>
        <w:spacing w:line="578" w:lineRule="exact"/>
        <w:ind w:firstLine="640" w:firstLineChars="200"/>
        <w:rPr>
          <w:rFonts w:ascii="仿宋_GB2312" w:hAnsi="仿宋_GB2312" w:eastAsia="仿宋_GB2312" w:cs="仿宋_GB2312"/>
          <w:sz w:val="32"/>
          <w:szCs w:val="32"/>
        </w:rPr>
      </w:pPr>
      <w:bookmarkStart w:id="370" w:name="_Toc8395_WPSOffice_Level2"/>
      <w:r>
        <w:rPr>
          <w:rFonts w:hint="eastAsia" w:ascii="仿宋_GB2312" w:hAnsi="仿宋_GB2312" w:eastAsia="仿宋_GB2312" w:cs="仿宋_GB2312"/>
          <w:sz w:val="32"/>
          <w:szCs w:val="32"/>
        </w:rPr>
        <w:t>表2-3-1  嘉峪关市月平均气温一览表（℃）</w:t>
      </w:r>
      <w:bookmarkEnd w:id="370"/>
    </w:p>
    <w:tbl>
      <w:tblPr>
        <w:tblStyle w:val="16"/>
        <w:tblW w:w="920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693"/>
        <w:gridCol w:w="667"/>
        <w:gridCol w:w="683"/>
        <w:gridCol w:w="584"/>
        <w:gridCol w:w="583"/>
        <w:gridCol w:w="667"/>
        <w:gridCol w:w="700"/>
        <w:gridCol w:w="666"/>
        <w:gridCol w:w="684"/>
        <w:gridCol w:w="650"/>
        <w:gridCol w:w="583"/>
        <w:gridCol w:w="683"/>
        <w:gridCol w:w="667"/>
        <w:gridCol w:w="69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98" w:hRule="atLeast"/>
          <w:jc w:val="center"/>
        </w:trPr>
        <w:tc>
          <w:tcPr>
            <w:tcW w:w="693"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月份</w:t>
            </w:r>
          </w:p>
        </w:tc>
        <w:tc>
          <w:tcPr>
            <w:tcW w:w="667"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1</w:t>
            </w:r>
          </w:p>
        </w:tc>
        <w:tc>
          <w:tcPr>
            <w:tcW w:w="683"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2</w:t>
            </w:r>
          </w:p>
        </w:tc>
        <w:tc>
          <w:tcPr>
            <w:tcW w:w="58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3</w:t>
            </w:r>
          </w:p>
        </w:tc>
        <w:tc>
          <w:tcPr>
            <w:tcW w:w="583"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4</w:t>
            </w:r>
          </w:p>
        </w:tc>
        <w:tc>
          <w:tcPr>
            <w:tcW w:w="667"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5</w:t>
            </w:r>
          </w:p>
        </w:tc>
        <w:tc>
          <w:tcPr>
            <w:tcW w:w="70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6</w:t>
            </w:r>
          </w:p>
        </w:tc>
        <w:tc>
          <w:tcPr>
            <w:tcW w:w="666"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7</w:t>
            </w:r>
          </w:p>
        </w:tc>
        <w:tc>
          <w:tcPr>
            <w:tcW w:w="68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8</w:t>
            </w:r>
          </w:p>
        </w:tc>
        <w:tc>
          <w:tcPr>
            <w:tcW w:w="65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9</w:t>
            </w:r>
          </w:p>
        </w:tc>
        <w:tc>
          <w:tcPr>
            <w:tcW w:w="583"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10</w:t>
            </w:r>
          </w:p>
        </w:tc>
        <w:tc>
          <w:tcPr>
            <w:tcW w:w="683"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11</w:t>
            </w:r>
          </w:p>
        </w:tc>
        <w:tc>
          <w:tcPr>
            <w:tcW w:w="667"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12</w:t>
            </w:r>
          </w:p>
        </w:tc>
        <w:tc>
          <w:tcPr>
            <w:tcW w:w="695"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平均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41" w:hRule="atLeast"/>
          <w:jc w:val="center"/>
        </w:trPr>
        <w:tc>
          <w:tcPr>
            <w:tcW w:w="693"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平均</w:t>
            </w:r>
          </w:p>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气温</w:t>
            </w:r>
          </w:p>
        </w:tc>
        <w:tc>
          <w:tcPr>
            <w:tcW w:w="667"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-9.7</w:t>
            </w:r>
          </w:p>
        </w:tc>
        <w:tc>
          <w:tcPr>
            <w:tcW w:w="683"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-6.3</w:t>
            </w:r>
          </w:p>
        </w:tc>
        <w:tc>
          <w:tcPr>
            <w:tcW w:w="58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1.6</w:t>
            </w:r>
          </w:p>
        </w:tc>
        <w:tc>
          <w:tcPr>
            <w:tcW w:w="583"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9.7</w:t>
            </w:r>
          </w:p>
        </w:tc>
        <w:tc>
          <w:tcPr>
            <w:tcW w:w="667"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16.5</w:t>
            </w:r>
          </w:p>
        </w:tc>
        <w:tc>
          <w:tcPr>
            <w:tcW w:w="70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20.5</w:t>
            </w:r>
          </w:p>
        </w:tc>
        <w:tc>
          <w:tcPr>
            <w:tcW w:w="666"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23.1</w:t>
            </w:r>
          </w:p>
        </w:tc>
        <w:tc>
          <w:tcPr>
            <w:tcW w:w="68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21.8</w:t>
            </w:r>
          </w:p>
        </w:tc>
        <w:tc>
          <w:tcPr>
            <w:tcW w:w="65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15.7</w:t>
            </w:r>
          </w:p>
        </w:tc>
        <w:tc>
          <w:tcPr>
            <w:tcW w:w="583"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7.9</w:t>
            </w:r>
          </w:p>
        </w:tc>
        <w:tc>
          <w:tcPr>
            <w:tcW w:w="683"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-0.8</w:t>
            </w:r>
          </w:p>
        </w:tc>
        <w:tc>
          <w:tcPr>
            <w:tcW w:w="667"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-7.8</w:t>
            </w:r>
          </w:p>
        </w:tc>
        <w:tc>
          <w:tcPr>
            <w:tcW w:w="695"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7.7</w:t>
            </w:r>
          </w:p>
        </w:tc>
      </w:tr>
    </w:tbl>
    <w:p>
      <w:pPr>
        <w:spacing w:line="578" w:lineRule="exact"/>
        <w:ind w:firstLine="640" w:firstLineChars="200"/>
        <w:rPr>
          <w:rFonts w:ascii="仿宋_GB2312" w:hAnsi="仿宋_GB2312" w:eastAsia="仿宋_GB2312" w:cs="仿宋_GB2312"/>
          <w:sz w:val="32"/>
          <w:szCs w:val="32"/>
        </w:rPr>
      </w:pPr>
      <w:bookmarkStart w:id="371" w:name="_Toc13506_WPSOffice_Level2"/>
      <w:r>
        <w:rPr>
          <w:rFonts w:hint="eastAsia" w:ascii="仿宋_GB2312" w:hAnsi="仿宋_GB2312" w:eastAsia="仿宋_GB2312" w:cs="仿宋_GB2312"/>
          <w:sz w:val="32"/>
          <w:szCs w:val="32"/>
        </w:rPr>
        <w:t>表2-3-2  嘉峪关市各月降水变化表（毫米）</w:t>
      </w:r>
      <w:bookmarkEnd w:id="371"/>
    </w:p>
    <w:tbl>
      <w:tblPr>
        <w:tblStyle w:val="16"/>
        <w:tblW w:w="8688"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696"/>
        <w:gridCol w:w="600"/>
        <w:gridCol w:w="584"/>
        <w:gridCol w:w="616"/>
        <w:gridCol w:w="534"/>
        <w:gridCol w:w="583"/>
        <w:gridCol w:w="550"/>
        <w:gridCol w:w="683"/>
        <w:gridCol w:w="638"/>
        <w:gridCol w:w="600"/>
        <w:gridCol w:w="600"/>
        <w:gridCol w:w="616"/>
        <w:gridCol w:w="634"/>
        <w:gridCol w:w="75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25" w:hRule="atLeast"/>
          <w:jc w:val="center"/>
        </w:trPr>
        <w:tc>
          <w:tcPr>
            <w:tcW w:w="696"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月份</w:t>
            </w:r>
          </w:p>
        </w:tc>
        <w:tc>
          <w:tcPr>
            <w:tcW w:w="60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1</w:t>
            </w:r>
          </w:p>
        </w:tc>
        <w:tc>
          <w:tcPr>
            <w:tcW w:w="58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2</w:t>
            </w:r>
          </w:p>
        </w:tc>
        <w:tc>
          <w:tcPr>
            <w:tcW w:w="616"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3</w:t>
            </w:r>
          </w:p>
        </w:tc>
        <w:tc>
          <w:tcPr>
            <w:tcW w:w="53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4</w:t>
            </w:r>
          </w:p>
        </w:tc>
        <w:tc>
          <w:tcPr>
            <w:tcW w:w="583"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5</w:t>
            </w:r>
          </w:p>
        </w:tc>
        <w:tc>
          <w:tcPr>
            <w:tcW w:w="55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6</w:t>
            </w:r>
          </w:p>
        </w:tc>
        <w:tc>
          <w:tcPr>
            <w:tcW w:w="683"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7</w:t>
            </w:r>
          </w:p>
        </w:tc>
        <w:tc>
          <w:tcPr>
            <w:tcW w:w="638"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8</w:t>
            </w:r>
          </w:p>
        </w:tc>
        <w:tc>
          <w:tcPr>
            <w:tcW w:w="60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9</w:t>
            </w:r>
          </w:p>
        </w:tc>
        <w:tc>
          <w:tcPr>
            <w:tcW w:w="60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10</w:t>
            </w:r>
          </w:p>
        </w:tc>
        <w:tc>
          <w:tcPr>
            <w:tcW w:w="616"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11</w:t>
            </w:r>
          </w:p>
        </w:tc>
        <w:tc>
          <w:tcPr>
            <w:tcW w:w="63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12</w:t>
            </w:r>
          </w:p>
        </w:tc>
        <w:tc>
          <w:tcPr>
            <w:tcW w:w="75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合计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858" w:hRule="atLeast"/>
          <w:jc w:val="center"/>
        </w:trPr>
        <w:tc>
          <w:tcPr>
            <w:tcW w:w="696"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降水量</w:t>
            </w:r>
          </w:p>
        </w:tc>
        <w:tc>
          <w:tcPr>
            <w:tcW w:w="60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1.4</w:t>
            </w:r>
          </w:p>
        </w:tc>
        <w:tc>
          <w:tcPr>
            <w:tcW w:w="58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2.9</w:t>
            </w:r>
          </w:p>
        </w:tc>
        <w:tc>
          <w:tcPr>
            <w:tcW w:w="616"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3.9</w:t>
            </w:r>
          </w:p>
        </w:tc>
        <w:tc>
          <w:tcPr>
            <w:tcW w:w="53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4.8</w:t>
            </w:r>
          </w:p>
        </w:tc>
        <w:tc>
          <w:tcPr>
            <w:tcW w:w="583"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9.4</w:t>
            </w:r>
          </w:p>
        </w:tc>
        <w:tc>
          <w:tcPr>
            <w:tcW w:w="55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9.8</w:t>
            </w:r>
          </w:p>
        </w:tc>
        <w:tc>
          <w:tcPr>
            <w:tcW w:w="683"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17.7</w:t>
            </w:r>
          </w:p>
        </w:tc>
        <w:tc>
          <w:tcPr>
            <w:tcW w:w="638"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21.2</w:t>
            </w:r>
          </w:p>
        </w:tc>
        <w:tc>
          <w:tcPr>
            <w:tcW w:w="60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6.7</w:t>
            </w:r>
          </w:p>
        </w:tc>
        <w:tc>
          <w:tcPr>
            <w:tcW w:w="60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1.3</w:t>
            </w:r>
          </w:p>
        </w:tc>
        <w:tc>
          <w:tcPr>
            <w:tcW w:w="616"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2.4</w:t>
            </w:r>
          </w:p>
        </w:tc>
        <w:tc>
          <w:tcPr>
            <w:tcW w:w="63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1.7</w:t>
            </w:r>
          </w:p>
        </w:tc>
        <w:tc>
          <w:tcPr>
            <w:tcW w:w="75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83.2</w:t>
            </w:r>
          </w:p>
        </w:tc>
      </w:tr>
    </w:tbl>
    <w:p>
      <w:pPr>
        <w:spacing w:line="578" w:lineRule="exact"/>
        <w:ind w:firstLine="640" w:firstLineChars="200"/>
        <w:rPr>
          <w:rFonts w:ascii="仿宋_GB2312" w:hAnsi="仿宋_GB2312" w:eastAsia="仿宋_GB2312" w:cs="仿宋_GB2312"/>
          <w:sz w:val="32"/>
          <w:szCs w:val="32"/>
        </w:rPr>
      </w:pPr>
      <w:bookmarkStart w:id="372" w:name="_Toc12503_WPSOffice_Level2"/>
      <w:r>
        <w:rPr>
          <w:rFonts w:hint="eastAsia" w:ascii="仿宋_GB2312" w:hAnsi="仿宋_GB2312" w:eastAsia="仿宋_GB2312" w:cs="仿宋_GB2312"/>
          <w:sz w:val="32"/>
          <w:szCs w:val="32"/>
        </w:rPr>
        <w:t>表2-3-3  嘉峪关市各月蒸发变化表（毫米）</w:t>
      </w:r>
      <w:bookmarkEnd w:id="372"/>
    </w:p>
    <w:tbl>
      <w:tblPr>
        <w:tblStyle w:val="16"/>
        <w:tblW w:w="967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25"/>
        <w:gridCol w:w="700"/>
        <w:gridCol w:w="666"/>
        <w:gridCol w:w="800"/>
        <w:gridCol w:w="550"/>
        <w:gridCol w:w="734"/>
        <w:gridCol w:w="750"/>
        <w:gridCol w:w="599"/>
        <w:gridCol w:w="583"/>
        <w:gridCol w:w="600"/>
        <w:gridCol w:w="750"/>
        <w:gridCol w:w="681"/>
        <w:gridCol w:w="669"/>
        <w:gridCol w:w="865"/>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16" w:hRule="atLeast"/>
          <w:jc w:val="center"/>
        </w:trPr>
        <w:tc>
          <w:tcPr>
            <w:tcW w:w="725"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月份</w:t>
            </w:r>
          </w:p>
        </w:tc>
        <w:tc>
          <w:tcPr>
            <w:tcW w:w="70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1</w:t>
            </w:r>
          </w:p>
        </w:tc>
        <w:tc>
          <w:tcPr>
            <w:tcW w:w="666"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2</w:t>
            </w:r>
          </w:p>
        </w:tc>
        <w:tc>
          <w:tcPr>
            <w:tcW w:w="80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3</w:t>
            </w:r>
          </w:p>
        </w:tc>
        <w:tc>
          <w:tcPr>
            <w:tcW w:w="55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4</w:t>
            </w:r>
          </w:p>
        </w:tc>
        <w:tc>
          <w:tcPr>
            <w:tcW w:w="734"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5</w:t>
            </w:r>
          </w:p>
        </w:tc>
        <w:tc>
          <w:tcPr>
            <w:tcW w:w="75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6</w:t>
            </w:r>
          </w:p>
        </w:tc>
        <w:tc>
          <w:tcPr>
            <w:tcW w:w="599"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7</w:t>
            </w:r>
          </w:p>
        </w:tc>
        <w:tc>
          <w:tcPr>
            <w:tcW w:w="583"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8</w:t>
            </w:r>
          </w:p>
        </w:tc>
        <w:tc>
          <w:tcPr>
            <w:tcW w:w="60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9</w:t>
            </w:r>
          </w:p>
        </w:tc>
        <w:tc>
          <w:tcPr>
            <w:tcW w:w="750"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10</w:t>
            </w:r>
          </w:p>
        </w:tc>
        <w:tc>
          <w:tcPr>
            <w:tcW w:w="681"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11</w:t>
            </w:r>
          </w:p>
        </w:tc>
        <w:tc>
          <w:tcPr>
            <w:tcW w:w="669"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12</w:t>
            </w:r>
          </w:p>
        </w:tc>
        <w:tc>
          <w:tcPr>
            <w:tcW w:w="865" w:type="dxa"/>
            <w:shd w:val="clear" w:color="auto" w:fill="D9D9D9"/>
            <w:vAlign w:val="center"/>
          </w:tcPr>
          <w:p>
            <w:pPr>
              <w:pStyle w:val="23"/>
              <w:spacing w:line="240" w:lineRule="auto"/>
              <w:rPr>
                <w:rFonts w:ascii="仿宋_GB2312" w:hAnsi="仿宋_GB2312" w:eastAsia="仿宋_GB2312" w:cs="仿宋_GB2312"/>
                <w:b/>
                <w:sz w:val="21"/>
              </w:rPr>
            </w:pPr>
            <w:r>
              <w:rPr>
                <w:rFonts w:hint="eastAsia" w:ascii="仿宋_GB2312" w:hAnsi="仿宋_GB2312" w:eastAsia="仿宋_GB2312" w:cs="仿宋_GB2312"/>
                <w:b/>
                <w:sz w:val="21"/>
              </w:rPr>
              <w:t>合计</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725"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蒸发量</w:t>
            </w:r>
          </w:p>
        </w:tc>
        <w:tc>
          <w:tcPr>
            <w:tcW w:w="70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33.4</w:t>
            </w:r>
          </w:p>
        </w:tc>
        <w:tc>
          <w:tcPr>
            <w:tcW w:w="666"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56.7</w:t>
            </w:r>
          </w:p>
        </w:tc>
        <w:tc>
          <w:tcPr>
            <w:tcW w:w="80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151.2</w:t>
            </w:r>
          </w:p>
        </w:tc>
        <w:tc>
          <w:tcPr>
            <w:tcW w:w="55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258</w:t>
            </w:r>
          </w:p>
        </w:tc>
        <w:tc>
          <w:tcPr>
            <w:tcW w:w="734"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314.2</w:t>
            </w:r>
          </w:p>
        </w:tc>
        <w:tc>
          <w:tcPr>
            <w:tcW w:w="75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313.7</w:t>
            </w:r>
          </w:p>
        </w:tc>
        <w:tc>
          <w:tcPr>
            <w:tcW w:w="599"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292</w:t>
            </w:r>
          </w:p>
        </w:tc>
        <w:tc>
          <w:tcPr>
            <w:tcW w:w="583"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271</w:t>
            </w:r>
          </w:p>
        </w:tc>
        <w:tc>
          <w:tcPr>
            <w:tcW w:w="60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217</w:t>
            </w:r>
          </w:p>
        </w:tc>
        <w:tc>
          <w:tcPr>
            <w:tcW w:w="750"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140.3</w:t>
            </w:r>
          </w:p>
        </w:tc>
        <w:tc>
          <w:tcPr>
            <w:tcW w:w="681"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35.6</w:t>
            </w:r>
          </w:p>
        </w:tc>
        <w:tc>
          <w:tcPr>
            <w:tcW w:w="669"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31.2</w:t>
            </w:r>
          </w:p>
        </w:tc>
        <w:tc>
          <w:tcPr>
            <w:tcW w:w="865" w:type="dxa"/>
            <w:vAlign w:val="center"/>
          </w:tcPr>
          <w:p>
            <w:pPr>
              <w:pStyle w:val="23"/>
              <w:spacing w:line="240" w:lineRule="auto"/>
              <w:rPr>
                <w:rFonts w:ascii="仿宋_GB2312" w:hAnsi="仿宋_GB2312" w:eastAsia="仿宋_GB2312" w:cs="仿宋_GB2312"/>
                <w:sz w:val="21"/>
              </w:rPr>
            </w:pPr>
            <w:r>
              <w:rPr>
                <w:rFonts w:hint="eastAsia" w:ascii="仿宋_GB2312" w:hAnsi="仿宋_GB2312" w:eastAsia="仿宋_GB2312" w:cs="仿宋_GB2312"/>
                <w:sz w:val="21"/>
              </w:rPr>
              <w:t>2114.3</w:t>
            </w:r>
          </w:p>
        </w:tc>
      </w:tr>
    </w:tbl>
    <w:p>
      <w:pPr>
        <w:spacing w:line="578" w:lineRule="exact"/>
        <w:ind w:firstLine="640" w:firstLineChars="200"/>
        <w:rPr>
          <w:rFonts w:ascii="仿宋_GB2312" w:hAnsi="仿宋_GB2312" w:eastAsia="仿宋_GB2312" w:cs="仿宋_GB2312"/>
          <w:sz w:val="32"/>
          <w:szCs w:val="32"/>
        </w:rPr>
      </w:pPr>
      <w:bookmarkStart w:id="373" w:name="_Toc21176_WPSOffice_Level3"/>
      <w:bookmarkStart w:id="374" w:name="_Toc19771_WPSOffice_Level3"/>
      <w:bookmarkStart w:id="375" w:name="_Toc30011_WPSOffice_Level3"/>
      <w:bookmarkStart w:id="376" w:name="_Toc30212_WPSOffice_Level3"/>
      <w:bookmarkStart w:id="377" w:name="_Toc31441_WPSOffice_Level3"/>
      <w:bookmarkStart w:id="378" w:name="_Toc7369_WPSOffice_Level3"/>
      <w:bookmarkStart w:id="379" w:name="_Toc24401_WPSOffice_Level3"/>
      <w:bookmarkStart w:id="380" w:name="_Toc15571_WPSOffice_Level3"/>
      <w:bookmarkStart w:id="381" w:name="_Toc17026_WPSOffice_Level3"/>
      <w:r>
        <w:rPr>
          <w:rFonts w:hint="eastAsia" w:ascii="仿宋_GB2312" w:hAnsi="仿宋_GB2312" w:eastAsia="仿宋_GB2312" w:cs="仿宋_GB2312"/>
          <w:sz w:val="32"/>
          <w:szCs w:val="32"/>
        </w:rPr>
        <w:t>5.2.2水文地质</w:t>
      </w:r>
      <w:bookmarkEnd w:id="373"/>
      <w:bookmarkEnd w:id="374"/>
      <w:bookmarkEnd w:id="375"/>
      <w:bookmarkEnd w:id="376"/>
      <w:bookmarkEnd w:id="377"/>
      <w:bookmarkEnd w:id="378"/>
      <w:bookmarkEnd w:id="379"/>
      <w:bookmarkEnd w:id="380"/>
      <w:bookmarkEnd w:id="381"/>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讨赖河是嘉峪关市境内唯一的地表河流，发源于青海省祁连山中段讨赖南山，出冰沟口流经嘉峪关、酒泉、金塔后汇入黑河，属黑河水系一级支流，讨赖河源头至冰沟口河长260公里，集水面积6883平方公里。讨赖河从嘉峪关市西南入境，由东面流出，境内河长40公里。河流来水由降水、冰雪融水和地下水补给。</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嘉峪关市降水量少，不能形成地表径流。入境水资源量为冰沟断面的地表水资源量即6.42亿立方米，至龙王庙渠首地表水资源量为5.09亿立方米。</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地下水主要分布在平原区，跨酒泉西盆地和酒泉东盆地两个水文地质单元。以嘉峪关大断层为界，西部是酒泉西盆地的东端，东部是酒泉东盆地的西端。嘉峪关市地下水类型有松散岩类孔隙水、碎屑岩类孔隙水和基岩裂隙水三大类型。</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基岩裂隙水主要分布于黑山，基岩裂隙水水量小，没有规模利用价值。松散岩类孔隙水广布于盆地，是区内最重要的地下水类型，局部地段如水关峡、大草滩、嘉峪关、双泉等地呈泉水溢出。</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嘉峪关市酒泉西盆地地下水天然补给量为13711.6万立方米/年，酒泉东盆地地下水天然补给量为6314.8万立方米/年，共计20026.4万立方米/年。</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地处祁连山北麓，其底层结构是祁连山地层结构的延伸地带。祁连山是经中、新生代得各次构造运动形成的高山区，河西走廊成为介于南北两山间的断陷沉降带。境内岩层沉积厚度各地不一，肃南附近厚439米，文殊山一带厚390-440米，酒泉盆地北部厚度从175米至1476米不等。境内的砾石层厚度在300米以上。自地面起往地下至100米处的砾石层多砂质，天然地基承压强度R为6kg/cm²。市境内砾石层的物理力学性能，为地面以至地下建筑工程提供了十分优越的条件。</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辖区略呈平行四边形，东西较长，南北稍窄，西南高，东北低，自然坡度13.3‰。南有文殊山及祁连山北麓，北有黑山和后墩山，中为酒泉盆地西缘。各类地形占全市总面积的比例为：山地约占4%，平地砂碛约占32%，盆地可耕地约占28%。城市的中西部多为戈壁，是市区和工业企业所在地；东南、东北为绿洲、农业区，绿洲随地貌被戈壁分割为点、块、条、带状，占总土地面积的1.9%</w:t>
      </w:r>
    </w:p>
    <w:p>
      <w:pPr>
        <w:spacing w:line="578" w:lineRule="exact"/>
        <w:ind w:firstLine="640" w:firstLineChars="200"/>
        <w:rPr>
          <w:rFonts w:ascii="仿宋_GB2312" w:hAnsi="仿宋_GB2312" w:eastAsia="仿宋_GB2312" w:cs="仿宋_GB2312"/>
          <w:sz w:val="32"/>
          <w:szCs w:val="32"/>
        </w:rPr>
      </w:pPr>
      <w:bookmarkStart w:id="382" w:name="_Toc28186_WPSOffice_Level3"/>
      <w:bookmarkStart w:id="383" w:name="_Toc6948_WPSOffice_Level3"/>
      <w:bookmarkStart w:id="384" w:name="_Toc6216_WPSOffice_Level3"/>
      <w:bookmarkStart w:id="385" w:name="_Toc23018_WPSOffice_Level3"/>
      <w:bookmarkStart w:id="386" w:name="_Toc32748_WPSOffice_Level3"/>
      <w:bookmarkStart w:id="387" w:name="_Toc14057_WPSOffice_Level3"/>
      <w:bookmarkStart w:id="388" w:name="_Toc4328_WPSOffice_Level3"/>
      <w:bookmarkStart w:id="389" w:name="_Toc7457_WPSOffice_Level3"/>
      <w:bookmarkStart w:id="390" w:name="_Toc32462_WPSOffice_Level3"/>
      <w:r>
        <w:rPr>
          <w:rFonts w:hint="eastAsia" w:ascii="仿宋_GB2312" w:hAnsi="仿宋_GB2312" w:eastAsia="仿宋_GB2312" w:cs="仿宋_GB2312"/>
          <w:sz w:val="32"/>
          <w:szCs w:val="32"/>
        </w:rPr>
        <w:t>5.2.3行政区划</w:t>
      </w:r>
      <w:bookmarkEnd w:id="382"/>
      <w:bookmarkEnd w:id="383"/>
      <w:bookmarkEnd w:id="384"/>
      <w:bookmarkEnd w:id="385"/>
      <w:bookmarkEnd w:id="386"/>
      <w:bookmarkEnd w:id="387"/>
      <w:bookmarkEnd w:id="388"/>
      <w:bookmarkEnd w:id="389"/>
      <w:bookmarkEnd w:id="390"/>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历史上无郡县设置，是1958年伴随着国家“一五”重点建设项目“酒泉钢铁公司”的建设而逐步发展起来的一座新兴的现代化城市。全市总面积2935平方公里(不含镜铁山矿区和西沟矿区）。嘉峪关市下辖3区（长城区、镜铁区、雄关区）3镇（峪泉镇、文殊镇、新城镇）、31个社区。</w:t>
      </w:r>
    </w:p>
    <w:p>
      <w:pPr>
        <w:pStyle w:val="4"/>
        <w:spacing w:before="0" w:after="0" w:line="360" w:lineRule="auto"/>
        <w:ind w:firstLine="640" w:firstLineChars="200"/>
        <w:rPr>
          <w:rFonts w:ascii="黑体" w:hAnsi="黑体"/>
          <w:b w:val="0"/>
          <w:bCs/>
          <w:szCs w:val="32"/>
        </w:rPr>
      </w:pPr>
      <w:bookmarkStart w:id="391" w:name="_Toc6188_WPSOffice_Level2"/>
      <w:bookmarkStart w:id="392" w:name="_Toc1660_WPSOffice_Level2"/>
      <w:bookmarkStart w:id="393" w:name="_Toc26681_WPSOffice_Level2"/>
      <w:bookmarkStart w:id="394" w:name="_Toc16682_WPSOffice_Level2"/>
      <w:bookmarkStart w:id="395" w:name="_Toc32300_WPSOffice_Level2"/>
      <w:bookmarkStart w:id="396" w:name="_Toc7424_WPSOffice_Level2"/>
      <w:r>
        <w:rPr>
          <w:rFonts w:hint="eastAsia" w:ascii="黑体" w:hAnsi="黑体"/>
          <w:b w:val="0"/>
          <w:bCs/>
          <w:szCs w:val="32"/>
        </w:rPr>
        <w:t>5.3 社会经济条件</w:t>
      </w:r>
      <w:bookmarkEnd w:id="391"/>
      <w:bookmarkEnd w:id="392"/>
      <w:bookmarkEnd w:id="393"/>
      <w:bookmarkEnd w:id="394"/>
      <w:bookmarkEnd w:id="395"/>
      <w:bookmarkEnd w:id="396"/>
      <w:r>
        <w:rPr>
          <w:rFonts w:hint="eastAsia" w:ascii="黑体" w:hAnsi="黑体"/>
          <w:b w:val="0"/>
          <w:bCs/>
          <w:szCs w:val="32"/>
        </w:rPr>
        <w:t xml:space="preserve"> </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2017年,面对严峻复杂的经济形势和艰巨繁重的改革发展任务,嘉峪关市全面贯彻落实党中央、国务院决策部署,坚持稳中求进工作总基调,积极把握和引领经济发展新常态,认真贯彻 “五大发展理念”,科学统筹稳增长、促改革、调结构、惠民生、防风险等各项措施,继续深化供给侧结构性改革,不断加大宏观经济的调控力度,着力培植新经济和新动力,全市经济呈现出“稳中向好、稳中提质”的发展态势,实现了平稳健康发展。</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经济增长:初步核算,全市实现生产总值210.99亿元,比上年增长3.7%。其中,第一产业增加值4.58亿元,增长5.5%;第二产业增加值109.42亿元,增长3.1%;第三产业增加值96.99亿元,增长4.4%。其中批发和零售业增加值13.18亿元,增长4.9%,交通运输仓储业增加值8.84亿元,增长7.4%,住宿和餐饮业增加值3.19亿元,增长8.3%,金融保险业增加值10.38亿元,增长2.3%,房地产业增加值6.51亿元,增长7.5%。人均地区生产总值为85126元。</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三次产业结构由上年的2.9:39.3:57.8调整为2.2:51.8:46,与上年相比,第一产业所占比重下降0.7个百分点,第二产业所占比重上升12.5个百分点,第三产业所占比重下降11.8个百分点。</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就业:年末城镇私营企业和个体工商户从业人员6.1万人,其中:私营企业从业人数22426人,增长9.01%;全市个体工商户从业人数38436人,增长5.45%。年末就业人数10.19万人,增加1262人,增长1.25%;年末登记失业率为2.78%;全年城镇新增就业人数8144人,增加119人,增长1.48%;下岗职工再就业1605人。</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物价:全市居民消费价格总水平比上年上涨0.5%。商品零售价格总水平比上年上涨0.5%。</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2018年全市实现生产总值299.62亿元，人均GDP居全省第一。</w:t>
      </w:r>
    </w:p>
    <w:p>
      <w:pPr>
        <w:pStyle w:val="3"/>
        <w:spacing w:beforeLines="100" w:afterLines="100" w:line="578" w:lineRule="exact"/>
        <w:jc w:val="center"/>
        <w:rPr>
          <w:rFonts w:ascii="宋体" w:hAnsi="宋体" w:eastAsia="宋体" w:cs="宋体"/>
          <w:sz w:val="36"/>
          <w:szCs w:val="36"/>
        </w:rPr>
      </w:pPr>
      <w:bookmarkStart w:id="397" w:name="_Toc14643_WPSOffice_Level1"/>
      <w:bookmarkStart w:id="398" w:name="_Toc6265_WPSOffice_Level1"/>
      <w:bookmarkStart w:id="399" w:name="_Toc25504_WPSOffice_Level1"/>
      <w:bookmarkStart w:id="400" w:name="_Toc19221_WPSOffice_Level1"/>
      <w:bookmarkStart w:id="401" w:name="_Toc23018_WPSOffice_Level1"/>
      <w:bookmarkStart w:id="402" w:name="_Toc4949_WPSOffice_Level1"/>
      <w:bookmarkStart w:id="403" w:name="_Toc23296_WPSOffice_Level1"/>
      <w:r>
        <w:rPr>
          <w:rFonts w:hint="eastAsia" w:ascii="宋体" w:hAnsi="宋体" w:eastAsia="宋体" w:cs="宋体"/>
          <w:sz w:val="36"/>
          <w:szCs w:val="36"/>
        </w:rPr>
        <w:t>第六章  项目技术方案</w:t>
      </w:r>
      <w:bookmarkEnd w:id="397"/>
      <w:bookmarkEnd w:id="398"/>
      <w:bookmarkEnd w:id="399"/>
      <w:bookmarkEnd w:id="400"/>
      <w:bookmarkEnd w:id="401"/>
      <w:bookmarkEnd w:id="402"/>
      <w:bookmarkEnd w:id="403"/>
    </w:p>
    <w:p>
      <w:pPr>
        <w:pStyle w:val="4"/>
        <w:spacing w:before="0" w:after="0" w:line="360" w:lineRule="auto"/>
        <w:ind w:firstLine="640" w:firstLineChars="200"/>
        <w:rPr>
          <w:rFonts w:ascii="黑体" w:hAnsi="黑体"/>
          <w:b w:val="0"/>
          <w:bCs/>
          <w:szCs w:val="32"/>
        </w:rPr>
      </w:pPr>
      <w:bookmarkStart w:id="404" w:name="_Toc19716_WPSOffice_Level2"/>
      <w:bookmarkStart w:id="405" w:name="_Toc2885_WPSOffice_Level2"/>
      <w:bookmarkStart w:id="406" w:name="_Toc3480_WPSOffice_Level2"/>
      <w:bookmarkStart w:id="407" w:name="_Toc536715815"/>
      <w:bookmarkStart w:id="408" w:name="_Toc13343_WPSOffice_Level2"/>
      <w:bookmarkStart w:id="409" w:name="_Toc26055_WPSOffice_Level2"/>
      <w:bookmarkStart w:id="410" w:name="_Toc3929_WPSOffice_Level2"/>
      <w:r>
        <w:rPr>
          <w:rFonts w:hint="eastAsia" w:ascii="黑体" w:hAnsi="黑体"/>
          <w:b w:val="0"/>
          <w:bCs/>
          <w:szCs w:val="32"/>
        </w:rPr>
        <w:t>6.1项目概况</w:t>
      </w:r>
      <w:bookmarkEnd w:id="404"/>
      <w:bookmarkEnd w:id="405"/>
      <w:bookmarkEnd w:id="406"/>
      <w:bookmarkEnd w:id="407"/>
      <w:bookmarkEnd w:id="408"/>
      <w:bookmarkEnd w:id="409"/>
      <w:bookmarkEnd w:id="410"/>
    </w:p>
    <w:p>
      <w:pPr>
        <w:spacing w:line="578" w:lineRule="exact"/>
        <w:ind w:firstLine="640" w:firstLineChars="200"/>
        <w:rPr>
          <w:rFonts w:ascii="仿宋_GB2312" w:hAnsi="仿宋_GB2312" w:eastAsia="仿宋_GB2312" w:cs="仿宋_GB2312"/>
          <w:sz w:val="32"/>
          <w:szCs w:val="32"/>
        </w:rPr>
      </w:pPr>
      <w:bookmarkStart w:id="411" w:name="_Toc6263_WPSOffice_Level3"/>
      <w:bookmarkStart w:id="412" w:name="_Toc28031_WPSOffice_Level3"/>
      <w:bookmarkStart w:id="413" w:name="_Toc23711_WPSOffice_Level3"/>
      <w:bookmarkStart w:id="414" w:name="_Toc18156_WPSOffice_Level3"/>
      <w:bookmarkStart w:id="415" w:name="_Toc32199_WPSOffice_Level3"/>
      <w:bookmarkStart w:id="416" w:name="_Toc2876_WPSOffice_Level3"/>
      <w:bookmarkStart w:id="417" w:name="_Toc4642_WPSOffice_Level3"/>
      <w:bookmarkStart w:id="418" w:name="_Toc21050_WPSOffice_Level3"/>
      <w:r>
        <w:rPr>
          <w:rFonts w:hint="eastAsia" w:ascii="仿宋_GB2312" w:hAnsi="仿宋_GB2312" w:eastAsia="仿宋_GB2312" w:cs="仿宋_GB2312"/>
          <w:sz w:val="32"/>
          <w:szCs w:val="32"/>
        </w:rPr>
        <w:t>6.1.1嘉峪关市人口概况</w:t>
      </w:r>
      <w:bookmarkEnd w:id="411"/>
      <w:bookmarkEnd w:id="412"/>
      <w:bookmarkEnd w:id="413"/>
      <w:bookmarkEnd w:id="414"/>
      <w:bookmarkEnd w:id="415"/>
      <w:bookmarkEnd w:id="416"/>
      <w:bookmarkEnd w:id="417"/>
      <w:bookmarkEnd w:id="418"/>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2017年嘉峪关市人口规模24.98万人，城市建设用地规模60.92平方公里，人均建设用地190.4平方米。自然增长率为9.91‰。城镇人口23.34万人，城镇化率为93.45%。2019年预计嘉峪关市人口数约25.48万人，2024年预计嘉峪关市人口数约27万人。</w:t>
      </w:r>
    </w:p>
    <w:p>
      <w:pPr>
        <w:spacing w:line="578" w:lineRule="exact"/>
        <w:ind w:firstLine="640" w:firstLineChars="200"/>
        <w:rPr>
          <w:rFonts w:ascii="仿宋_GB2312" w:hAnsi="仿宋_GB2312" w:eastAsia="仿宋_GB2312" w:cs="仿宋_GB2312"/>
          <w:sz w:val="32"/>
          <w:szCs w:val="32"/>
        </w:rPr>
      </w:pPr>
      <w:bookmarkStart w:id="419" w:name="_Toc18484_WPSOffice_Level3"/>
      <w:bookmarkStart w:id="420" w:name="_Toc13989_WPSOffice_Level3"/>
      <w:bookmarkStart w:id="421" w:name="_Toc28152_WPSOffice_Level3"/>
      <w:bookmarkStart w:id="422" w:name="_Toc6709_WPSOffice_Level3"/>
      <w:bookmarkStart w:id="423" w:name="_Toc23471_WPSOffice_Level3"/>
      <w:bookmarkStart w:id="424" w:name="_Toc19713_WPSOffice_Level3"/>
      <w:bookmarkStart w:id="425" w:name="_Toc23361_WPSOffice_Level3"/>
      <w:bookmarkStart w:id="426" w:name="_Toc19327_WPSOffice_Level3"/>
      <w:r>
        <w:rPr>
          <w:rFonts w:hint="eastAsia" w:ascii="仿宋_GB2312" w:hAnsi="仿宋_GB2312" w:eastAsia="仿宋_GB2312" w:cs="仿宋_GB2312"/>
          <w:sz w:val="32"/>
          <w:szCs w:val="32"/>
        </w:rPr>
        <w:t>6.1.2城市生活垃圾产生量</w:t>
      </w:r>
      <w:bookmarkEnd w:id="419"/>
      <w:bookmarkEnd w:id="420"/>
      <w:bookmarkEnd w:id="421"/>
      <w:bookmarkEnd w:id="422"/>
      <w:bookmarkEnd w:id="423"/>
      <w:bookmarkEnd w:id="424"/>
      <w:bookmarkEnd w:id="425"/>
      <w:bookmarkEnd w:id="426"/>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全市生活垃圾产量为7.96万吨（其中餐厨垃圾约1.1万吨），日产量218吨。现状人均垃圾产生量为0.93千克/日，餐厨垃圾约占13.76%。垃圾无害化处理率达100%。目前，日产生活垃圾最低值185吨，日产生活垃圾最高值251吨。</w:t>
      </w:r>
    </w:p>
    <w:p>
      <w:pPr>
        <w:spacing w:line="578" w:lineRule="exact"/>
        <w:ind w:firstLine="640" w:firstLineChars="200"/>
        <w:rPr>
          <w:rFonts w:ascii="仿宋_GB2312" w:hAnsi="仿宋_GB2312" w:eastAsia="仿宋_GB2312" w:cs="仿宋_GB2312"/>
          <w:sz w:val="32"/>
          <w:szCs w:val="32"/>
        </w:rPr>
      </w:pPr>
      <w:bookmarkStart w:id="427" w:name="_Toc8128_WPSOffice_Level3"/>
      <w:bookmarkStart w:id="428" w:name="_Toc3477_WPSOffice_Level3"/>
      <w:bookmarkStart w:id="429" w:name="_Toc12506_WPSOffice_Level3"/>
      <w:bookmarkStart w:id="430" w:name="_Toc10860_WPSOffice_Level3"/>
      <w:bookmarkStart w:id="431" w:name="_Toc23453_WPSOffice_Level3"/>
      <w:bookmarkStart w:id="432" w:name="_Toc6320_WPSOffice_Level3"/>
      <w:bookmarkStart w:id="433" w:name="_Toc4225_WPSOffice_Level3"/>
      <w:bookmarkStart w:id="434" w:name="_Toc9440_WPSOffice_Level3"/>
      <w:r>
        <w:rPr>
          <w:rFonts w:hint="eastAsia" w:ascii="仿宋_GB2312" w:hAnsi="仿宋_GB2312" w:eastAsia="仿宋_GB2312" w:cs="仿宋_GB2312"/>
          <w:sz w:val="32"/>
          <w:szCs w:val="32"/>
        </w:rPr>
        <w:t>6.1.3嘉峪关市当前的垃圾处理现状及已有基础设施情况</w:t>
      </w:r>
      <w:bookmarkEnd w:id="427"/>
      <w:bookmarkEnd w:id="428"/>
      <w:bookmarkEnd w:id="429"/>
      <w:bookmarkEnd w:id="430"/>
      <w:bookmarkEnd w:id="431"/>
      <w:bookmarkEnd w:id="432"/>
      <w:bookmarkEnd w:id="433"/>
      <w:bookmarkEnd w:id="434"/>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（1）垃圾转运站</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嘉峪关市现有北、南生活垃圾转运站2座，于2013年5月投入运行，设计处理能力各100吨/日。目前，除城区生活垃圾运送至转运站外，日转运量达200吨。2013年、2017年新建小型转运站4座，日转运量各10吨。</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（2）生活垃圾填埋场</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嘉峪关市现有生活垃圾处理场2座，断山口生活垃圾处理场和嘉峪关市八昼夜滩生活垃圾处理场。</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断山口生活垃圾处理场，断山口生活垃圾处理场占地面积199.28亩，有效库容110.83万立方米，于2004年8月投入使用。该填埋场采用先进的卫生填埋工艺进行无害化处理，工程设计处理能力为250吨/日，实际处理能力为210吨/日，该填埋场使用年限已到，现已封填。</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嘉峪关市八昼夜滩生活垃圾处理场，2016年新建嘉峪关市八昼夜滩生活垃圾处理场，2017年9月完成主体施工，2018年9月完成附属设施渗滤液处理站施工，现已全面运行。工程总占地面积：5.77万平方米，平均日处理生活垃圾360吨，填埋场建设规模为Ⅲ类。垃圾填埋场设计有效库容164万立方米，总库容190万立方米，设计使用年限10年（2017年～2026年）。主要建设内容为生活垃圾填埋场1座、配套建设渗滤液调节池1座、渗滤液处理站1座、扩建生产生活辅助区1座、新建填埋场进场道路，按照无害化处理要求，铺设防渗膜，</w:t>
      </w:r>
      <w:r>
        <w:rPr>
          <w:rFonts w:hint="eastAsia" w:ascii="仿宋_GB2312" w:hAnsi="仿宋_GB2312" w:eastAsia="仿宋_GB2312" w:cs="仿宋_GB2312"/>
          <w:sz w:val="32"/>
          <w:szCs w:val="32"/>
          <w:lang w:val="en-GB"/>
        </w:rPr>
        <w:t>建设项目总投资6400万元。</w:t>
      </w:r>
      <w:r>
        <w:rPr>
          <w:rFonts w:hint="eastAsia" w:ascii="仿宋_GB2312" w:hAnsi="仿宋_GB2312" w:eastAsia="仿宋_GB2312" w:cs="仿宋_GB2312"/>
          <w:sz w:val="32"/>
          <w:szCs w:val="32"/>
        </w:rPr>
        <w:t>达到生活垃圾无害化标准评定等级，城市生活垃圾无害化处理率达到100%。</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（3）医疗废物处置中心</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嘉峪关市医疗废物处置中心位于断山口，距市中心约25公里，毗邻生活垃圾场，占地面积为8348平方米，建筑面积1764平方米。医疗垃圾处理采用高温、高压蒸汽灭菌处理工艺，日处理能力为3吨，设计年限15年。</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（4）餐厨垃圾处理场进展迅速</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2019年计划新建餐厨垃圾处理场1座，设计日处理能力50吨，新建餐厨垃圾处理车间、办公用房，同时配套建设地磅房、消防、污水池、水电排水、道路、围墙、绿化等配套工程。批复投资4315.49万元。现在已完成项目建议书、可研批复、规划选址、土地预审和土地划拨、地勘等手续，已通过初步设计批复。项目建成后将新增餐厨垃圾处理能力50吨/日，基本建立城市餐厨垃圾回收利用体系。加快推进垃圾分类处理，为城市生活垃圾无害化处理做进一步保障。</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（5）城市生活垃圾收运设施完善</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2017年加快了垃圾收运配套设施建设，购置分类果皮箱800个、垃圾桶800个、垃圾压缩车5辆、洗扫车6辆，结合棚户区改造在昌盛街区和朝阳街区新建小型生活垃圾转运站2座，日转运生活垃圾各10吨。目前嘉峪关市垃圾转运能力为每日240吨，保证了生活垃圾中转能力，做到生活垃圾日产日清日处理。</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嘉峪关市环境卫生实行政府购买服务后，城市生活垃圾收运、处置工作由嘉峪关桑德环境科技有限公司承担，嘉峪关桑德环境科技有限公司先后投资2500万元，购置各类收集、转运清扫、洒水等环卫作业车68辆，目前环卫作业车共计达到147辆，为城市城市清扫、垃圾收运、垃圾处理等环卫作业提供设备支持，城市机械化清扫率达到80%。</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（6）农村垃圾收运项目初设已通过评审</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为了完善嘉峪关市农村垃圾收运体系，计划在2020年内，投资2247.91万元，建设农村生活垃圾分类清运处理配套设施项目。建设内容有：在新城镇、文殊镇、峪泉镇新建5座垃圾压缩站；为各镇配套建设一座约100平方米的太阳能阳光堆肥房；购置垃圾斗234个，购置垃圾清运车、电动小收集车，维修更换果皮箱及其他。截至目前，已与三镇政府、自然资源局进行多次沟通，确定了项目建设地点，并获得发改委《关于同意农村生活垃圾分类清运处理配套设施建设项目开展前期工作的函》，初审已通过评审。该项目的建成运行，完善了嘉峪关市三个镇生活垃圾的分类清运处理系统，保障了乡村环境的良性循环，改善村民的生存环境，提高居民健康水平，使居民生活在一个干净、整洁、卫生的乡村氛围之中，同时也是符合中央提出的建设美丽乡村政策。</w:t>
      </w:r>
    </w:p>
    <w:p>
      <w:pPr>
        <w:pStyle w:val="4"/>
        <w:spacing w:before="0" w:after="0" w:line="360" w:lineRule="auto"/>
        <w:ind w:firstLine="640" w:firstLineChars="200"/>
        <w:rPr>
          <w:rFonts w:ascii="黑体" w:hAnsi="黑体"/>
          <w:b w:val="0"/>
          <w:bCs/>
          <w:szCs w:val="32"/>
        </w:rPr>
      </w:pPr>
      <w:bookmarkStart w:id="435" w:name="_Toc11832_WPSOffice_Level2"/>
      <w:bookmarkStart w:id="436" w:name="_Toc26271_WPSOffice_Level2"/>
      <w:bookmarkStart w:id="437" w:name="_Toc9517_WPSOffice_Level2"/>
      <w:bookmarkStart w:id="438" w:name="_Toc11463_WPSOffice_Level2"/>
      <w:bookmarkStart w:id="439" w:name="_Toc536715814"/>
      <w:bookmarkStart w:id="440" w:name="_Toc18122_WPSOffice_Level2"/>
      <w:bookmarkStart w:id="441" w:name="_Toc31854_WPSOffice_Level2"/>
      <w:r>
        <w:rPr>
          <w:rFonts w:hint="eastAsia" w:ascii="黑体" w:hAnsi="黑体"/>
          <w:b w:val="0"/>
          <w:bCs/>
          <w:szCs w:val="32"/>
        </w:rPr>
        <w:t>6.2项目目标</w:t>
      </w:r>
      <w:bookmarkEnd w:id="435"/>
      <w:bookmarkEnd w:id="436"/>
      <w:bookmarkEnd w:id="437"/>
      <w:bookmarkEnd w:id="438"/>
      <w:bookmarkEnd w:id="439"/>
      <w:bookmarkEnd w:id="440"/>
      <w:bookmarkEnd w:id="441"/>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到2019年底，各区生活垃圾分类质量达标小区占已分类小区的75%以上；生活垃圾回收利用率达到30%。</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到2020年底，城区范围内全部实行生活垃圾强制分类，基本建立垃圾分类相关规章制度，生活垃圾回收利用率达到35%以上，垃圾分类综合治理，全民参与的氛围基本形成。</w:t>
      </w:r>
    </w:p>
    <w:p>
      <w:pPr>
        <w:pStyle w:val="4"/>
        <w:spacing w:before="0" w:after="0" w:line="360" w:lineRule="auto"/>
        <w:ind w:firstLine="640" w:firstLineChars="200"/>
        <w:rPr>
          <w:rFonts w:ascii="黑体" w:hAnsi="黑体"/>
          <w:b w:val="0"/>
          <w:bCs/>
          <w:szCs w:val="32"/>
        </w:rPr>
      </w:pPr>
      <w:bookmarkStart w:id="442" w:name="_Toc22419_WPSOffice_Level2"/>
      <w:bookmarkStart w:id="443" w:name="_Toc15402_WPSOffice_Level2"/>
      <w:bookmarkStart w:id="444" w:name="_Toc18568_WPSOffice_Level2"/>
      <w:bookmarkStart w:id="445" w:name="_Toc31684_WPSOffice_Level2"/>
      <w:bookmarkStart w:id="446" w:name="_Toc23268_WPSOffice_Level2"/>
      <w:bookmarkStart w:id="447" w:name="_Toc27006_WPSOffice_Level2"/>
      <w:r>
        <w:rPr>
          <w:rFonts w:hint="eastAsia" w:ascii="黑体" w:hAnsi="黑体"/>
          <w:b w:val="0"/>
          <w:bCs/>
          <w:szCs w:val="32"/>
        </w:rPr>
        <w:t>6.3垃圾分类处理措施</w:t>
      </w:r>
      <w:bookmarkEnd w:id="442"/>
      <w:bookmarkEnd w:id="443"/>
      <w:bookmarkEnd w:id="444"/>
      <w:bookmarkEnd w:id="445"/>
      <w:bookmarkEnd w:id="446"/>
      <w:bookmarkEnd w:id="447"/>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包括镜铁区、雄关区、长城区3个区，根据调查统计资料，镜铁区约38711户，雄关区32825户，长城区24427户，医院128家，学校89所，机关企事业单位1029家。垃圾分类根据居民小区及楼栋设置，医院生活垃圾、学校、机关企事业单位集中设置。具体分类、投放及运输措施如下：</w:t>
      </w:r>
    </w:p>
    <w:p>
      <w:pPr>
        <w:pStyle w:val="4"/>
        <w:spacing w:before="0" w:after="0" w:line="360" w:lineRule="auto"/>
        <w:ind w:firstLine="640" w:firstLineChars="200"/>
        <w:rPr>
          <w:rFonts w:ascii="黑体" w:hAnsi="黑体"/>
          <w:b w:val="0"/>
          <w:bCs/>
          <w:szCs w:val="32"/>
        </w:rPr>
      </w:pPr>
      <w:bookmarkStart w:id="448" w:name="_Toc519897767"/>
      <w:bookmarkStart w:id="449" w:name="_Toc3690_WPSOffice_Level3"/>
      <w:bookmarkStart w:id="450" w:name="_Toc11141_WPSOffice_Level1"/>
      <w:bookmarkStart w:id="451" w:name="_Toc7625_WPSOffice_Level3"/>
      <w:bookmarkStart w:id="452" w:name="_Toc503858162"/>
      <w:bookmarkStart w:id="453" w:name="_Toc28045"/>
      <w:bookmarkStart w:id="454" w:name="_Toc6089_WPSOffice_Level3"/>
      <w:bookmarkStart w:id="455" w:name="_Toc28633_WPSOffice_Level3"/>
      <w:bookmarkStart w:id="456" w:name="_Toc521881722"/>
      <w:bookmarkStart w:id="457" w:name="_Toc21067_WPSOffice_Level1"/>
      <w:bookmarkStart w:id="458" w:name="_Toc20586_WPSOffice_Level1"/>
      <w:bookmarkStart w:id="459" w:name="_Toc15302_WPSOffice_Level1"/>
      <w:bookmarkStart w:id="460" w:name="_Toc6846_WPSOffice_Level3"/>
      <w:bookmarkStart w:id="461" w:name="_Toc29293_WPSOffice_Level1"/>
      <w:bookmarkStart w:id="462" w:name="_Toc23892_WPSOffice_Level1"/>
      <w:bookmarkStart w:id="463" w:name="_Toc536715835"/>
      <w:r>
        <w:rPr>
          <w:rFonts w:hint="eastAsia" w:ascii="黑体" w:hAnsi="黑体"/>
          <w:b w:val="0"/>
          <w:bCs/>
          <w:szCs w:val="32"/>
        </w:rPr>
        <w:t>6.3.1小区智慧垃圾分类收集系统</w:t>
      </w:r>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p>
    <w:p>
      <w:pPr>
        <w:spacing w:line="578" w:lineRule="exact"/>
        <w:ind w:firstLine="640" w:firstLineChars="200"/>
        <w:rPr>
          <w:rFonts w:ascii="仿宋_GB2312" w:hAnsi="仿宋_GB2312" w:eastAsia="仿宋_GB2312" w:cs="仿宋_GB2312"/>
          <w:sz w:val="32"/>
          <w:szCs w:val="32"/>
        </w:rPr>
      </w:pPr>
      <w:bookmarkStart w:id="464" w:name="_Toc27708_WPSOffice_Level2"/>
      <w:bookmarkStart w:id="465" w:name="_Toc519897768"/>
      <w:bookmarkStart w:id="466" w:name="_Toc14295_WPSOffice_Level2"/>
      <w:bookmarkStart w:id="467" w:name="_Toc26102_WPSOffice_Level2"/>
      <w:bookmarkStart w:id="468" w:name="_Toc521881723"/>
      <w:bookmarkStart w:id="469" w:name="_Toc485037738"/>
      <w:bookmarkStart w:id="470" w:name="_Toc25027_WPSOffice_Level2"/>
      <w:bookmarkStart w:id="471" w:name="_Toc7971_WPSOffice_Level2"/>
      <w:bookmarkStart w:id="472" w:name="_Toc26880_WPSOffice_Level2"/>
      <w:bookmarkStart w:id="473" w:name="_Toc503858163"/>
      <w:r>
        <w:rPr>
          <w:rFonts w:hint="eastAsia" w:ascii="仿宋_GB2312" w:hAnsi="仿宋_GB2312" w:eastAsia="仿宋_GB2312" w:cs="仿宋_GB2312"/>
          <w:sz w:val="32"/>
          <w:szCs w:val="32"/>
        </w:rPr>
        <w:t>为高质量完成嘉峪关市城市生活垃圾分类处理，根据嘉峪关市小区、机关、学校生活垃圾投放和分类等实际情况，将重点体现智慧分类系统的全面性、用户体验感及使用经济性的要求，配合就地减量化资源化无害化处理设备，旨在建设成为经济环保、节能、业内技术最为领先、分类效果最佳的生活垃圾分类处理项目。做到源头减量、来源可溯、资源利用、无害处理。</w:t>
      </w:r>
    </w:p>
    <w:p>
      <w:pPr>
        <w:pStyle w:val="34"/>
        <w:shd w:val="clear" w:color="auto" w:fill="FFFFFF"/>
        <w:spacing w:before="0" w:beforeAutospacing="0" w:after="0" w:afterAutospacing="0" w:line="360" w:lineRule="auto"/>
        <w:ind w:left="33" w:leftChars="-118" w:hanging="281" w:hangingChars="88"/>
        <w:rPr>
          <w:rFonts w:eastAsiaTheme="minorEastAsia" w:cstheme="minorBidi"/>
          <w:kern w:val="2"/>
          <w:sz w:val="32"/>
          <w:szCs w:val="32"/>
        </w:rPr>
      </w:pPr>
    </w:p>
    <w:p>
      <w:pPr>
        <w:pStyle w:val="34"/>
        <w:shd w:val="clear" w:color="auto" w:fill="FFFFFF"/>
        <w:spacing w:before="0" w:beforeAutospacing="0" w:after="0" w:afterAutospacing="0" w:line="360" w:lineRule="auto"/>
        <w:ind w:left="33" w:leftChars="-118" w:hanging="281" w:hangingChars="88"/>
        <w:rPr>
          <w:rFonts w:eastAsiaTheme="minorEastAsia" w:cstheme="minorBidi"/>
          <w:kern w:val="2"/>
          <w:sz w:val="32"/>
          <w:szCs w:val="32"/>
        </w:rPr>
      </w:pPr>
      <w:bookmarkStart w:id="1339" w:name="_GoBack"/>
      <w:bookmarkEnd w:id="1339"/>
    </w:p>
    <w:p>
      <w:pPr>
        <w:pStyle w:val="34"/>
        <w:shd w:val="clear" w:color="auto" w:fill="FFFFFF"/>
        <w:spacing w:before="0" w:beforeAutospacing="0" w:after="0" w:afterAutospacing="0" w:line="360" w:lineRule="auto"/>
        <w:ind w:left="33" w:leftChars="-118" w:hanging="281" w:hangingChars="88"/>
        <w:rPr>
          <w:rFonts w:eastAsiaTheme="minorEastAsia" w:cstheme="minorBidi"/>
          <w:kern w:val="2"/>
          <w:sz w:val="32"/>
          <w:szCs w:val="32"/>
        </w:rPr>
      </w:pPr>
    </w:p>
    <w:p>
      <w:pPr>
        <w:pStyle w:val="34"/>
        <w:shd w:val="clear" w:color="auto" w:fill="FFFFFF"/>
        <w:spacing w:before="0" w:beforeAutospacing="0" w:after="0" w:afterAutospacing="0" w:line="360" w:lineRule="auto"/>
        <w:ind w:left="33" w:leftChars="-118" w:hanging="281" w:hangingChars="88"/>
        <w:rPr>
          <w:rFonts w:eastAsiaTheme="minorEastAsia" w:cstheme="minorBidi"/>
          <w:kern w:val="2"/>
          <w:sz w:val="32"/>
          <w:szCs w:val="32"/>
        </w:rPr>
      </w:pPr>
    </w:p>
    <w:p>
      <w:pPr>
        <w:pStyle w:val="34"/>
        <w:shd w:val="clear" w:color="auto" w:fill="FFFFFF"/>
        <w:spacing w:before="0" w:beforeAutospacing="0" w:after="0" w:afterAutospacing="0" w:line="360" w:lineRule="auto"/>
        <w:ind w:left="-64" w:leftChars="-118" w:hanging="184" w:hangingChars="88"/>
        <w:rPr>
          <w:rFonts w:eastAsiaTheme="minorEastAsia" w:cstheme="minorBidi"/>
          <w:kern w:val="2"/>
          <w:sz w:val="32"/>
          <w:szCs w:val="32"/>
        </w:rPr>
      </w:pPr>
      <w:r>
        <w:drawing>
          <wp:anchor distT="0" distB="0" distL="114935" distR="114935" simplePos="0" relativeHeight="251658240" behindDoc="0" locked="0" layoutInCell="0" allowOverlap="1">
            <wp:simplePos x="0" y="0"/>
            <wp:positionH relativeFrom="page">
              <wp:posOffset>824230</wp:posOffset>
            </wp:positionH>
            <wp:positionV relativeFrom="page">
              <wp:posOffset>1212215</wp:posOffset>
            </wp:positionV>
            <wp:extent cx="5585460" cy="7503795"/>
            <wp:effectExtent l="0" t="0" r="0" b="1905"/>
            <wp:wrapSquare wrapText="bothSides"/>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32" cstate="print">
                      <a:clrChange>
                        <a:clrFrom>
                          <a:srgbClr val="FFFFFF"/>
                        </a:clrFrom>
                        <a:clrTo>
                          <a:srgbClr val="FFFFFF">
                            <a:alpha val="0"/>
                          </a:srgbClr>
                        </a:clrTo>
                      </a:clrChange>
                    </a:blip>
                    <a:stretch>
                      <a:fillRect/>
                    </a:stretch>
                  </pic:blipFill>
                  <pic:spPr>
                    <a:xfrm>
                      <a:off x="0" y="0"/>
                      <a:ext cx="5585460" cy="7503795"/>
                    </a:xfrm>
                    <a:prstGeom prst="rect">
                      <a:avLst/>
                    </a:prstGeom>
                    <a:noFill/>
                    <a:ln>
                      <a:noFill/>
                    </a:ln>
                  </pic:spPr>
                </pic:pic>
              </a:graphicData>
            </a:graphic>
          </wp:anchor>
        </w:drawing>
      </w:r>
    </w:p>
    <w:p>
      <w:pPr>
        <w:pStyle w:val="34"/>
        <w:shd w:val="clear" w:color="auto" w:fill="FFFFFF"/>
        <w:spacing w:before="0" w:beforeAutospacing="0" w:after="0" w:afterAutospacing="0" w:line="360" w:lineRule="auto"/>
        <w:ind w:left="33" w:leftChars="-118" w:hanging="281" w:hangingChars="88"/>
        <w:rPr>
          <w:rFonts w:eastAsiaTheme="minorEastAsia" w:cstheme="minorBidi"/>
          <w:kern w:val="2"/>
          <w:sz w:val="32"/>
          <w:szCs w:val="32"/>
        </w:rPr>
      </w:pPr>
      <w:r>
        <w:rPr>
          <w:rFonts w:hint="eastAsia" w:eastAsiaTheme="minorEastAsia" w:cstheme="minorBidi"/>
          <w:kern w:val="2"/>
          <w:sz w:val="32"/>
          <w:szCs w:val="32"/>
        </w:rPr>
        <w:drawing>
          <wp:inline distT="0" distB="0" distL="0" distR="0">
            <wp:extent cx="5899785" cy="5153025"/>
            <wp:effectExtent l="0" t="0" r="5715" b="9525"/>
            <wp:docPr id="151" name="图片 9" descr="E:\工作文件\嘉峪关市生活垃圾分类可研\垃圾分类处理流程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 descr="E:\工作文件\嘉峪关市生活垃圾分类可研\垃圾分类处理流程图.jpg"/>
                    <pic:cNvPicPr>
                      <a:picLocks noChangeAspect="1" noChangeArrowheads="1"/>
                    </pic:cNvPicPr>
                  </pic:nvPicPr>
                  <pic:blipFill>
                    <a:blip r:embed="rId33" cstate="print"/>
                    <a:srcRect/>
                    <a:stretch>
                      <a:fillRect/>
                    </a:stretch>
                  </pic:blipFill>
                  <pic:spPr>
                    <a:xfrm>
                      <a:off x="0" y="0"/>
                      <a:ext cx="5899840" cy="5153025"/>
                    </a:xfrm>
                    <a:prstGeom prst="rect">
                      <a:avLst/>
                    </a:prstGeom>
                    <a:noFill/>
                    <a:ln w="9525">
                      <a:noFill/>
                      <a:miter lim="800000"/>
                      <a:headEnd/>
                      <a:tailEnd/>
                    </a:ln>
                  </pic:spPr>
                </pic:pic>
              </a:graphicData>
            </a:graphic>
          </wp:inline>
        </w:drawing>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（1）设计目标</w:t>
      </w:r>
      <w:bookmarkEnd w:id="464"/>
      <w:bookmarkEnd w:id="465"/>
      <w:bookmarkEnd w:id="466"/>
      <w:bookmarkEnd w:id="467"/>
      <w:bookmarkEnd w:id="468"/>
      <w:bookmarkEnd w:id="469"/>
      <w:bookmarkEnd w:id="470"/>
      <w:bookmarkEnd w:id="471"/>
      <w:bookmarkEnd w:id="472"/>
      <w:bookmarkEnd w:id="473"/>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1）新小区或大型小区</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通过配置智能垃圾二分类垃圾箱（餐厨垃圾和其他垃圾）、智能四分类可回收箱（金属、玻璃、纸张和塑料）、有毒有害回收箱（开放式投递口）实现四分法集中投放；小区住户发放二维码贴条，居民用塑料袋将生活垃圾分类收集后，贴上二维码贴条后投放至智能垃圾箱中，每天由小区巡检员完成住户垃圾分类评价打分，评分实时上传云平台；积分可以兑换商品，落实垃圾分类奖励，激励住户积极参与垃圾。</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2）老旧小区</w:t>
      </w:r>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通过配置智能垃圾二分类垃圾箱（餐厨垃圾和其他垃圾）、普通240L塑料垃圾桶（可回收垃圾和有毒有害垃圾）实现四分法集中投放，小区住户发放二维码贴条，居民用塑料袋将生活垃圾两分类收集后，贴上二维码贴条后投放至智能二分垃圾箱中，每天由小区巡检员完成住户垃圾分类评价打分；可回收垃圾和有毒有害垃圾则在每周六的环保日由小区巡检员现场集中回收，也给予住户积分奖励。</w:t>
      </w:r>
    </w:p>
    <w:p>
      <w:pPr>
        <w:spacing w:line="578" w:lineRule="exact"/>
        <w:ind w:firstLine="640" w:firstLineChars="200"/>
        <w:rPr>
          <w:rFonts w:ascii="仿宋_GB2312" w:hAnsi="仿宋_GB2312" w:eastAsia="仿宋_GB2312" w:cs="仿宋_GB2312"/>
          <w:sz w:val="32"/>
          <w:szCs w:val="32"/>
        </w:rPr>
      </w:pPr>
      <w:bookmarkStart w:id="474" w:name="_Toc485037739"/>
      <w:bookmarkStart w:id="475" w:name="_Toc521881724"/>
      <w:bookmarkStart w:id="476" w:name="_Toc483117241"/>
      <w:bookmarkStart w:id="477" w:name="_Toc503858164"/>
      <w:bookmarkStart w:id="478" w:name="_Toc31382_WPSOffice_Level2"/>
      <w:bookmarkStart w:id="479" w:name="_Toc519897769"/>
      <w:bookmarkStart w:id="480" w:name="_Toc24218_WPSOffice_Level2"/>
      <w:bookmarkStart w:id="481" w:name="_Toc15105_WPSOffice_Level2"/>
      <w:bookmarkStart w:id="482" w:name="_Toc7022_WPSOffice_Level2"/>
      <w:bookmarkStart w:id="483" w:name="_Toc28407_WPSOffice_Level2"/>
      <w:bookmarkStart w:id="484" w:name="_Toc24527_WPSOffice_Level2"/>
      <w:r>
        <w:rPr>
          <w:rFonts w:hint="eastAsia" w:ascii="仿宋_GB2312" w:hAnsi="仿宋_GB2312" w:eastAsia="仿宋_GB2312" w:cs="仿宋_GB2312"/>
          <w:sz w:val="32"/>
          <w:szCs w:val="32"/>
        </w:rPr>
        <w:t>（2）分类系统的建立</w:t>
      </w:r>
      <w:bookmarkEnd w:id="474"/>
      <w:bookmarkEnd w:id="475"/>
      <w:bookmarkEnd w:id="476"/>
      <w:bookmarkEnd w:id="477"/>
      <w:bookmarkEnd w:id="478"/>
      <w:bookmarkEnd w:id="479"/>
      <w:bookmarkEnd w:id="480"/>
      <w:bookmarkEnd w:id="481"/>
      <w:bookmarkEnd w:id="482"/>
      <w:bookmarkEnd w:id="483"/>
      <w:bookmarkEnd w:id="484"/>
    </w:p>
    <w:p>
      <w:pPr>
        <w:spacing w:line="578" w:lineRule="exact"/>
        <w:ind w:firstLine="640" w:firstLineChars="200"/>
        <w:rPr>
          <w:rFonts w:ascii="仿宋_GB2312" w:hAnsi="仿宋_GB2312" w:eastAsia="仿宋_GB2312" w:cs="仿宋_GB2312"/>
          <w:sz w:val="32"/>
          <w:szCs w:val="32"/>
        </w:rPr>
      </w:pPr>
      <w:bookmarkStart w:id="485" w:name="_Toc519897770"/>
      <w:r>
        <w:rPr>
          <w:rFonts w:hint="eastAsia" w:ascii="仿宋_GB2312" w:hAnsi="仿宋_GB2312" w:eastAsia="仿宋_GB2312" w:cs="仿宋_GB2312"/>
          <w:sz w:val="32"/>
          <w:szCs w:val="32"/>
        </w:rPr>
        <w:t>1）分类垃圾集中回收</w:t>
      </w:r>
      <w:bookmarkEnd w:id="485"/>
    </w:p>
    <w:p>
      <w:pPr>
        <w:spacing w:line="578"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集中投放指的是将新旧小区按一定户数或者楼栋间距分为若干个区域，每个区域设置垃圾集中投放点，并配备智能二分法垃圾箱。每天住户自行将餐厨垃圾和其他分类垃圾装入垃圾袋贴二维码条刷码倒入智能二分类垃圾箱，系统自动记录投放垃圾时间、次数等信息并自动转化为相应的积分，并存入住户的积分账户。</w:t>
      </w:r>
    </w:p>
    <w:p>
      <w:pPr>
        <w:ind w:firstLine="480"/>
        <w:jc w:val="center"/>
      </w:pPr>
      <w:r>
        <w:drawing>
          <wp:inline distT="0" distB="0" distL="114300" distR="114300">
            <wp:extent cx="4497705" cy="7057390"/>
            <wp:effectExtent l="0" t="0" r="17145" b="10160"/>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34" cstate="print"/>
                    <a:stretch>
                      <a:fillRect/>
                    </a:stretch>
                  </pic:blipFill>
                  <pic:spPr>
                    <a:xfrm>
                      <a:off x="0" y="0"/>
                      <a:ext cx="4497299" cy="7056478"/>
                    </a:xfrm>
                    <a:prstGeom prst="rect">
                      <a:avLst/>
                    </a:prstGeom>
                    <a:noFill/>
                    <a:ln w="9525">
                      <a:noFill/>
                    </a:ln>
                  </pic:spPr>
                </pic:pic>
              </a:graphicData>
            </a:graphic>
          </wp:inline>
        </w:drawing>
      </w:r>
    </w:p>
    <w:p>
      <w:pPr>
        <w:pStyle w:val="22"/>
        <w:numPr>
          <w:ilvl w:val="2"/>
          <w:numId w:val="3"/>
        </w:numPr>
        <w:ind w:firstLineChars="0"/>
        <w:jc w:val="left"/>
        <w:outlineLvl w:val="2"/>
        <w:rPr>
          <w:rFonts w:ascii="宋体" w:hAnsi="宋体"/>
          <w:b/>
          <w:sz w:val="28"/>
          <w:szCs w:val="32"/>
        </w:rPr>
        <w:sectPr>
          <w:footerReference r:id="rId7" w:type="default"/>
          <w:pgSz w:w="11906" w:h="16838"/>
          <w:pgMar w:top="1440" w:right="1800" w:bottom="1440" w:left="1800" w:header="1134" w:footer="992" w:gutter="0"/>
          <w:pgNumType w:start="1"/>
          <w:cols w:space="425" w:num="1"/>
          <w:docGrid w:type="lines" w:linePitch="312" w:charSpace="0"/>
        </w:sectPr>
      </w:pP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2）有毒有害垃圾和可回收垃圾集中回收</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在新小区按照区域设置一套智能可回收分类箱和有毒有害回收箱，用于收集可回收物和有害垃圾。</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智能可回收分类箱一般包括4个箱体，分别对应4种可回收垃圾：纸张、玻璃、塑料、金属；有毒有害回收箱一般为抽屉式，可以回收日光灯管、农药瓶、干电池等，外观如下图：</w:t>
      </w:r>
    </w:p>
    <w:p>
      <w:pPr>
        <w:jc w:val="center"/>
        <w:rPr>
          <w:sz w:val="32"/>
          <w:szCs w:val="32"/>
        </w:rPr>
      </w:pPr>
      <w:r>
        <w:rPr>
          <w:rFonts w:hint="eastAsia"/>
          <w:sz w:val="32"/>
          <w:szCs w:val="32"/>
        </w:rPr>
        <w:drawing>
          <wp:inline distT="0" distB="0" distL="114300" distR="114300">
            <wp:extent cx="5240020" cy="3930015"/>
            <wp:effectExtent l="0" t="0" r="17780" b="13335"/>
            <wp:docPr id="152" name="图片 152" descr="56659453311523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566594533115231780"/>
                    <pic:cNvPicPr>
                      <a:picLocks noChangeAspect="1"/>
                    </pic:cNvPicPr>
                  </pic:nvPicPr>
                  <pic:blipFill>
                    <a:blip r:embed="rId35" cstate="print"/>
                    <a:stretch>
                      <a:fillRect/>
                    </a:stretch>
                  </pic:blipFill>
                  <pic:spPr>
                    <a:xfrm>
                      <a:off x="0" y="0"/>
                      <a:ext cx="5240020" cy="3930015"/>
                    </a:xfrm>
                    <a:prstGeom prst="rect">
                      <a:avLst/>
                    </a:prstGeom>
                  </pic:spPr>
                </pic:pic>
              </a:graphicData>
            </a:graphic>
          </wp:inline>
        </w:drawing>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住户首先扫描垃圾袋智能二维码条，扫描成功后，按压按钮后，智能可回收分类箱自动开启对应种类垃圾的回收箱门，垃圾投放成功后，可回收物经过称重，自动实时重量上传到系统，系统智能计算每次投放垃圾增加的积分，存入到住户账户中。</w:t>
      </w:r>
      <w:r>
        <w:rPr>
          <w:rFonts w:hint="eastAsia" w:ascii="仿宋_GB2312" w:hAnsi="仿宋_GB2312" w:eastAsia="仿宋_GB2312" w:cs="仿宋_GB2312"/>
          <w:sz w:val="32"/>
          <w:szCs w:val="32"/>
        </w:rPr>
        <w:drawing>
          <wp:inline distT="0" distB="0" distL="114300" distR="114300">
            <wp:extent cx="38100" cy="76200"/>
            <wp:effectExtent l="0" t="0" r="0" b="0"/>
            <wp:docPr id="15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descr="IMG_256"/>
                    <pic:cNvPicPr>
                      <a:picLocks noChangeAspect="1"/>
                    </pic:cNvPicPr>
                  </pic:nvPicPr>
                  <pic:blipFill>
                    <a:blip r:embed="rId36" cstate="print"/>
                    <a:stretch>
                      <a:fillRect/>
                    </a:stretch>
                  </pic:blipFill>
                  <pic:spPr>
                    <a:xfrm>
                      <a:off x="0" y="0"/>
                      <a:ext cx="38100" cy="76200"/>
                    </a:xfrm>
                    <a:prstGeom prst="rect">
                      <a:avLst/>
                    </a:prstGeom>
                    <a:noFill/>
                    <a:ln w="9525">
                      <a:noFill/>
                    </a:ln>
                  </pic:spPr>
                </pic:pic>
              </a:graphicData>
            </a:graphic>
          </wp:inline>
        </w:drawing>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老旧小区则通过配置可回收和有毒有害塑料垃圾桶，在每周六环保日，由巡检员现场对居民的可回收垃圾进行称重，重量数据实时上传到系统中，积分数据则存入居民的积分账户中。</w:t>
      </w:r>
    </w:p>
    <w:p>
      <w:pPr>
        <w:jc w:val="center"/>
      </w:pPr>
      <w:r>
        <w:rPr>
          <w:rFonts w:hint="eastAsia"/>
        </w:rPr>
        <w:drawing>
          <wp:inline distT="0" distB="0" distL="0" distR="0">
            <wp:extent cx="5605780" cy="4239260"/>
            <wp:effectExtent l="0" t="0" r="13970" b="889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37" cstate="print"/>
                    <a:srcRect/>
                    <a:stretch>
                      <a:fillRect/>
                    </a:stretch>
                  </pic:blipFill>
                  <pic:spPr>
                    <a:xfrm>
                      <a:off x="0" y="0"/>
                      <a:ext cx="5605523" cy="4239093"/>
                    </a:xfrm>
                    <a:prstGeom prst="rect">
                      <a:avLst/>
                    </a:prstGeom>
                    <a:noFill/>
                    <a:ln w="9525">
                      <a:noFill/>
                      <a:miter lim="800000"/>
                      <a:headEnd/>
                      <a:tailEnd/>
                    </a:ln>
                  </pic:spPr>
                </pic:pic>
              </a:graphicData>
            </a:graphic>
          </wp:inline>
        </w:drawing>
      </w:r>
    </w:p>
    <w:p>
      <w:pPr>
        <w:pStyle w:val="15"/>
        <w:widowControl/>
        <w:shd w:val="clear" w:color="auto" w:fill="FFFFFF"/>
        <w:spacing w:beforeAutospacing="0" w:afterAutospacing="0"/>
        <w:ind w:firstLine="480"/>
        <w:rPr>
          <w:rFonts w:ascii="宋体" w:hAnsi="宋体" w:eastAsia="宋体" w:cs="宋体"/>
          <w:szCs w:val="24"/>
        </w:rPr>
      </w:pPr>
    </w:p>
    <w:p>
      <w:pPr>
        <w:spacing w:line="578" w:lineRule="exact"/>
        <w:ind w:firstLine="632" w:firstLineChars="200"/>
        <w:rPr>
          <w:rFonts w:ascii="仿宋_GB2312" w:hAnsi="仿宋_GB2312" w:eastAsia="仿宋_GB2312" w:cs="仿宋_GB2312"/>
          <w:sz w:val="32"/>
          <w:szCs w:val="32"/>
        </w:rPr>
      </w:pPr>
      <w:bookmarkStart w:id="486" w:name="_Toc2676_WPSOffice_Level1"/>
      <w:bookmarkStart w:id="487" w:name="_Toc519897774"/>
      <w:bookmarkStart w:id="488" w:name="_Toc9999_WPSOffice_Level1"/>
      <w:bookmarkStart w:id="489" w:name="_Toc1120_WPSOffice_Level1"/>
      <w:bookmarkStart w:id="490" w:name="_Toc28864_WPSOffice_Level1"/>
      <w:bookmarkStart w:id="491" w:name="_Toc18872_WPSOffice_Level1"/>
      <w:bookmarkStart w:id="492" w:name="_Toc485037743"/>
      <w:bookmarkStart w:id="493" w:name="_Toc503858165"/>
      <w:r>
        <w:rPr>
          <w:rFonts w:hint="eastAsia" w:ascii="仿宋_GB2312" w:hAnsi="仿宋_GB2312" w:eastAsia="仿宋_GB2312" w:cs="仿宋_GB2312"/>
          <w:sz w:val="32"/>
          <w:szCs w:val="32"/>
        </w:rPr>
        <w:t>（3）全市住宅小区先进行分类试点</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现有各类住宅小区约200个，新开发小区基础设施相对完整，易于开展生活垃圾分类投放工作，可以在镜铁区的“亲水湾、明珠花园、东湖国际、明珠山水郡”这几个新开发的小区进行试点推广，结合生活垃圾分类宣传，配备智能分类垃圾箱及小区巡检员，落实垃圾分类奖励，激励住户积极参与垃圾。随着试点小区的成熟，带动周围小区，截止2019年底，全市各住宅小区生活垃圾分类运营小区覆盖面达到75%，到2020年底，全市各住宅小区生活垃圾分类运营小区覆盖面达到100%。</w:t>
      </w:r>
    </w:p>
    <w:p>
      <w:r>
        <w:rPr>
          <w:rFonts w:hint="eastAsia"/>
        </w:rPr>
        <w:drawing>
          <wp:inline distT="0" distB="0" distL="0" distR="0">
            <wp:extent cx="5876290" cy="3966210"/>
            <wp:effectExtent l="0" t="0" r="10160" b="15240"/>
            <wp:docPr id="154" name="图片 3" descr="E:\工作文件\嘉峪关市生活垃圾分类可研\嘉峪关行政区域地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 descr="E:\工作文件\嘉峪关市生活垃圾分类可研\嘉峪关行政区域地图.jpg"/>
                    <pic:cNvPicPr>
                      <a:picLocks noChangeAspect="1" noChangeArrowheads="1"/>
                    </pic:cNvPicPr>
                  </pic:nvPicPr>
                  <pic:blipFill>
                    <a:blip r:embed="rId38" cstate="print"/>
                    <a:srcRect/>
                    <a:stretch>
                      <a:fillRect/>
                    </a:stretch>
                  </pic:blipFill>
                  <pic:spPr>
                    <a:xfrm>
                      <a:off x="0" y="0"/>
                      <a:ext cx="5876808" cy="3966579"/>
                    </a:xfrm>
                    <a:prstGeom prst="rect">
                      <a:avLst/>
                    </a:prstGeom>
                    <a:noFill/>
                    <a:ln w="9525">
                      <a:noFill/>
                      <a:miter lim="800000"/>
                      <a:headEnd/>
                      <a:tailEnd/>
                    </a:ln>
                  </pic:spPr>
                </pic:pic>
              </a:graphicData>
            </a:graphic>
          </wp:inline>
        </w:drawing>
      </w:r>
    </w:p>
    <w:p>
      <w:pPr>
        <w:ind w:firstLine="632" w:firstLineChars="200"/>
        <w:jc w:val="center"/>
        <w:rPr>
          <w:rFonts w:ascii="仿宋_GB2312" w:hAnsi="仿宋_GB2312" w:eastAsia="仿宋_GB2312" w:cs="仿宋_GB2312"/>
          <w:sz w:val="32"/>
          <w:szCs w:val="32"/>
        </w:rPr>
      </w:pPr>
      <w:bookmarkStart w:id="494" w:name="_Toc22183_WPSOffice_Level2"/>
      <w:bookmarkStart w:id="495" w:name="_Toc6973_WPSOffice_Level2"/>
      <w:bookmarkStart w:id="496" w:name="_Toc22915_WPSOffice_Level2"/>
      <w:bookmarkStart w:id="497" w:name="_Toc32183_WPSOffice_Level2"/>
      <w:bookmarkStart w:id="498" w:name="_Toc28883_WPSOffice_Level2"/>
      <w:bookmarkStart w:id="499" w:name="_Toc21727_WPSOffice_Level2"/>
      <w:bookmarkStart w:id="500" w:name="_Toc9849_WPSOffice_Level2"/>
      <w:r>
        <w:rPr>
          <w:rFonts w:hint="eastAsia" w:ascii="仿宋_GB2312" w:hAnsi="仿宋_GB2312" w:eastAsia="仿宋_GB2312" w:cs="仿宋_GB2312"/>
          <w:sz w:val="32"/>
          <w:szCs w:val="32"/>
        </w:rPr>
        <w:t>嘉峪关市行政区域划分图</w:t>
      </w:r>
      <w:bookmarkEnd w:id="494"/>
      <w:bookmarkEnd w:id="495"/>
      <w:bookmarkEnd w:id="496"/>
      <w:bookmarkEnd w:id="497"/>
      <w:bookmarkEnd w:id="498"/>
      <w:bookmarkEnd w:id="499"/>
      <w:bookmarkEnd w:id="50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下辖3区（长城区、镜铁区、雄关区）3镇（峪泉镇、文殊镇、新城镇）、30个社区。其中镜铁区的东湖生态旅游景区周边的“亲水湾、明珠花园、东湖国际、明珠山水郡”属于新建成小区，基础设施相对完整，具有较成熟的保洁收运体系，景区周边游玩的市民较多，可以很好地起到带头和宣传作用。</w:t>
      </w:r>
    </w:p>
    <w:p>
      <w:r>
        <w:rPr>
          <w:rFonts w:hint="eastAsia"/>
        </w:rPr>
        <w:drawing>
          <wp:inline distT="0" distB="0" distL="0" distR="0">
            <wp:extent cx="5650230" cy="3871595"/>
            <wp:effectExtent l="0" t="0" r="7620" b="14605"/>
            <wp:docPr id="155" name="图片 6" descr="E:\工作文件\嘉峪关市生活垃圾分类可研\9佳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 descr="E:\工作文件\嘉峪关市生活垃圾分类可研\9佳苑.jpg"/>
                    <pic:cNvPicPr>
                      <a:picLocks noChangeAspect="1" noChangeArrowheads="1"/>
                    </pic:cNvPicPr>
                  </pic:nvPicPr>
                  <pic:blipFill>
                    <a:blip r:embed="rId39" cstate="print"/>
                    <a:srcRect/>
                    <a:stretch>
                      <a:fillRect/>
                    </a:stretch>
                  </pic:blipFill>
                  <pic:spPr>
                    <a:xfrm>
                      <a:off x="0" y="0"/>
                      <a:ext cx="5651152" cy="3872526"/>
                    </a:xfrm>
                    <a:prstGeom prst="rect">
                      <a:avLst/>
                    </a:prstGeom>
                    <a:noFill/>
                    <a:ln w="9525">
                      <a:noFill/>
                      <a:miter lim="800000"/>
                      <a:headEnd/>
                      <a:tailEnd/>
                    </a:ln>
                  </pic:spPr>
                </pic:pic>
              </a:graphicData>
            </a:graphic>
          </wp:inline>
        </w:drawing>
      </w:r>
    </w:p>
    <w:p>
      <w:pPr>
        <w:ind w:firstLine="632" w:firstLineChars="200"/>
        <w:jc w:val="center"/>
        <w:rPr>
          <w:rFonts w:ascii="仿宋_GB2312" w:hAnsi="仿宋_GB2312" w:eastAsia="仿宋_GB2312" w:cs="仿宋_GB2312"/>
          <w:sz w:val="32"/>
          <w:szCs w:val="32"/>
        </w:rPr>
      </w:pPr>
      <w:bookmarkStart w:id="501" w:name="_Toc28040_WPSOffice_Level2"/>
      <w:bookmarkStart w:id="502" w:name="_Toc27363_WPSOffice_Level2"/>
      <w:bookmarkStart w:id="503" w:name="_Toc24171_WPSOffice_Level2"/>
      <w:bookmarkStart w:id="504" w:name="_Toc28482_WPSOffice_Level2"/>
      <w:bookmarkStart w:id="505" w:name="_Toc32510_WPSOffice_Level2"/>
      <w:bookmarkStart w:id="506" w:name="_Toc8219_WPSOffice_Level2"/>
      <w:bookmarkStart w:id="507" w:name="_Toc16802_WPSOffice_Level2"/>
      <w:r>
        <w:rPr>
          <w:rFonts w:hint="eastAsia" w:ascii="仿宋_GB2312" w:hAnsi="仿宋_GB2312" w:eastAsia="仿宋_GB2312" w:cs="仿宋_GB2312"/>
          <w:sz w:val="32"/>
          <w:szCs w:val="32"/>
        </w:rPr>
        <w:t>亲水湾、东湖国际位置示意图</w:t>
      </w:r>
      <w:bookmarkEnd w:id="501"/>
      <w:bookmarkEnd w:id="502"/>
      <w:bookmarkEnd w:id="503"/>
      <w:bookmarkEnd w:id="504"/>
      <w:bookmarkEnd w:id="505"/>
      <w:bookmarkEnd w:id="506"/>
      <w:bookmarkEnd w:id="507"/>
    </w:p>
    <w:p>
      <w:r>
        <w:rPr>
          <w:rFonts w:hint="eastAsia"/>
        </w:rPr>
        <w:drawing>
          <wp:inline distT="0" distB="0" distL="0" distR="0">
            <wp:extent cx="5821680" cy="2440940"/>
            <wp:effectExtent l="0" t="0" r="7620" b="16510"/>
            <wp:docPr id="156" name="图片 7" descr="E:\工作文件\嘉峪关市生活垃圾分类可研\11紫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7" descr="E:\工作文件\嘉峪关市生活垃圾分类可研\11紫轩.jpg"/>
                    <pic:cNvPicPr>
                      <a:picLocks noChangeAspect="1" noChangeArrowheads="1"/>
                    </pic:cNvPicPr>
                  </pic:nvPicPr>
                  <pic:blipFill>
                    <a:blip r:embed="rId40" cstate="print"/>
                    <a:srcRect/>
                    <a:stretch>
                      <a:fillRect/>
                    </a:stretch>
                  </pic:blipFill>
                  <pic:spPr>
                    <a:xfrm>
                      <a:off x="0" y="0"/>
                      <a:ext cx="5822143" cy="2441204"/>
                    </a:xfrm>
                    <a:prstGeom prst="rect">
                      <a:avLst/>
                    </a:prstGeom>
                    <a:noFill/>
                    <a:ln w="9525">
                      <a:noFill/>
                      <a:miter lim="800000"/>
                      <a:headEnd/>
                      <a:tailEnd/>
                    </a:ln>
                  </pic:spPr>
                </pic:pic>
              </a:graphicData>
            </a:graphic>
          </wp:inline>
        </w:drawing>
      </w:r>
    </w:p>
    <w:p>
      <w:pPr>
        <w:ind w:firstLine="632" w:firstLineChars="200"/>
        <w:jc w:val="center"/>
        <w:rPr>
          <w:rFonts w:ascii="仿宋_GB2312" w:hAnsi="仿宋_GB2312" w:eastAsia="仿宋_GB2312" w:cs="仿宋_GB2312"/>
          <w:sz w:val="32"/>
          <w:szCs w:val="32"/>
        </w:rPr>
      </w:pPr>
      <w:bookmarkStart w:id="508" w:name="_Toc29732_WPSOffice_Level2"/>
      <w:bookmarkStart w:id="509" w:name="_Toc13973_WPSOffice_Level2"/>
      <w:bookmarkStart w:id="510" w:name="_Toc16553_WPSOffice_Level2"/>
      <w:bookmarkStart w:id="511" w:name="_Toc237_WPSOffice_Level2"/>
      <w:bookmarkStart w:id="512" w:name="_Toc24209_WPSOffice_Level2"/>
      <w:bookmarkStart w:id="513" w:name="_Toc5080_WPSOffice_Level2"/>
      <w:bookmarkStart w:id="514" w:name="_Toc25515_WPSOffice_Level2"/>
      <w:r>
        <w:rPr>
          <w:rFonts w:hint="eastAsia" w:ascii="仿宋_GB2312" w:hAnsi="仿宋_GB2312" w:eastAsia="仿宋_GB2312" w:cs="仿宋_GB2312"/>
          <w:sz w:val="32"/>
          <w:szCs w:val="32"/>
        </w:rPr>
        <w:t>明珠花园位置示意图</w:t>
      </w:r>
      <w:bookmarkEnd w:id="508"/>
      <w:bookmarkEnd w:id="509"/>
      <w:bookmarkEnd w:id="510"/>
      <w:bookmarkEnd w:id="511"/>
      <w:bookmarkEnd w:id="512"/>
      <w:bookmarkEnd w:id="513"/>
      <w:bookmarkEnd w:id="514"/>
    </w:p>
    <w:p>
      <w:r>
        <w:rPr>
          <w:rFonts w:hint="eastAsia"/>
        </w:rPr>
        <w:drawing>
          <wp:inline distT="0" distB="0" distL="0" distR="0">
            <wp:extent cx="5271770" cy="4492625"/>
            <wp:effectExtent l="0" t="0" r="5080" b="3175"/>
            <wp:docPr id="157" name="图片 8" descr="E:\工作文件\嘉峪关市生活垃圾分类可研\12明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8" descr="E:\工作文件\嘉峪关市生活垃圾分类可研\12明珠.jpg"/>
                    <pic:cNvPicPr>
                      <a:picLocks noChangeAspect="1" noChangeArrowheads="1"/>
                    </pic:cNvPicPr>
                  </pic:nvPicPr>
                  <pic:blipFill>
                    <a:blip r:embed="rId41" cstate="print"/>
                    <a:srcRect/>
                    <a:stretch>
                      <a:fillRect/>
                    </a:stretch>
                  </pic:blipFill>
                  <pic:spPr>
                    <a:xfrm>
                      <a:off x="0" y="0"/>
                      <a:ext cx="5271770" cy="4492625"/>
                    </a:xfrm>
                    <a:prstGeom prst="rect">
                      <a:avLst/>
                    </a:prstGeom>
                    <a:noFill/>
                    <a:ln w="9525">
                      <a:noFill/>
                      <a:miter lim="800000"/>
                      <a:headEnd/>
                      <a:tailEnd/>
                    </a:ln>
                  </pic:spPr>
                </pic:pic>
              </a:graphicData>
            </a:graphic>
          </wp:inline>
        </w:drawing>
      </w:r>
    </w:p>
    <w:p>
      <w:pPr>
        <w:ind w:firstLine="632" w:firstLineChars="200"/>
        <w:jc w:val="center"/>
        <w:rPr>
          <w:rFonts w:ascii="仿宋_GB2312" w:hAnsi="仿宋_GB2312" w:eastAsia="仿宋_GB2312" w:cs="仿宋_GB2312"/>
          <w:sz w:val="32"/>
          <w:szCs w:val="32"/>
        </w:rPr>
      </w:pPr>
      <w:bookmarkStart w:id="515" w:name="_Toc28123_WPSOffice_Level2"/>
      <w:bookmarkStart w:id="516" w:name="_Toc341_WPSOffice_Level2"/>
      <w:bookmarkStart w:id="517" w:name="_Toc548_WPSOffice_Level2"/>
      <w:bookmarkStart w:id="518" w:name="_Toc4835_WPSOffice_Level2"/>
      <w:bookmarkStart w:id="519" w:name="_Toc14206_WPSOffice_Level2"/>
      <w:bookmarkStart w:id="520" w:name="_Toc9579_WPSOffice_Level2"/>
      <w:bookmarkStart w:id="521" w:name="_Toc15976_WPSOffice_Level2"/>
      <w:r>
        <w:rPr>
          <w:rFonts w:hint="eastAsia" w:ascii="仿宋_GB2312" w:hAnsi="仿宋_GB2312" w:eastAsia="仿宋_GB2312" w:cs="仿宋_GB2312"/>
          <w:sz w:val="32"/>
          <w:szCs w:val="32"/>
        </w:rPr>
        <w:t>明珠山水郡位置示意图</w:t>
      </w:r>
      <w:bookmarkEnd w:id="515"/>
      <w:bookmarkEnd w:id="516"/>
      <w:bookmarkEnd w:id="517"/>
      <w:bookmarkEnd w:id="518"/>
      <w:bookmarkEnd w:id="519"/>
      <w:bookmarkEnd w:id="520"/>
      <w:bookmarkEnd w:id="521"/>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其他小区实行“片区抽查”制度，在原有大垃圾桶投放点的基础上，增设一个240L的黄色垃圾桶，通过宣传人员的进户宣传可实现分类收集餐厨垃圾和其他垃圾；小区每个单元楼进口处，配置一个有害垃圾回收布袋，方便居民投递有害垃圾，避免对环境造成污染；大型小区可以设置大件垃圾和建筑装修垃圾堆放点（小型小区可以几个小型小区共用一个）；每个周六的资源回收日，由保洁员负责收购小区居民的可回收物和有害垃圾，通过上述措施，实现生活垃圾的全部分类投放。</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具体的做法是每个单元楼投放点的240L厨余垃圾桶和其他垃圾桶都配有可拆的二维码卡片，指定垃圾分类管理人员定期对各单元垃圾桶进行抽查评价打分，建立整个单元楼住户垃圾分类追溯制度，当发现某单元楼的垃圾未正确分类时，相关人员重点加强对该单元楼住户的引导教育，达到全体小区居民积极参与垃圾分类和正确分类的目标。</w:t>
      </w:r>
    </w:p>
    <w:p>
      <w:pPr>
        <w:spacing w:line="578" w:lineRule="exact"/>
        <w:ind w:firstLine="632" w:firstLineChars="200"/>
        <w:rPr>
          <w:rFonts w:ascii="仿宋_GB2312" w:hAnsi="仿宋_GB2312" w:eastAsia="仿宋_GB2312" w:cs="仿宋_GB2312"/>
          <w:sz w:val="32"/>
          <w:szCs w:val="32"/>
        </w:rPr>
      </w:pPr>
      <w:bookmarkStart w:id="522" w:name="_Toc536715824"/>
      <w:r>
        <w:rPr>
          <w:rFonts w:hint="eastAsia" w:ascii="仿宋_GB2312" w:hAnsi="仿宋_GB2312" w:eastAsia="仿宋_GB2312" w:cs="仿宋_GB2312"/>
          <w:sz w:val="32"/>
          <w:szCs w:val="32"/>
        </w:rPr>
        <w:t>（4）巡检督导</w:t>
      </w:r>
      <w:bookmarkEnd w:id="522"/>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为更好地监督及指导居民使用垃圾分类的设备，提高垃圾分类的正确率，应安排巡检督导人员，在居民前来投放垃圾时，对居民提供分类指导。如有分类不正确现象，及时提醒居民重新分类。对分类结果好的，则可适当给予积分奖励。同时做好垃圾分类宣传工作，让居民能认识到垃圾分类工作的重要性，并积极的参与进来。</w:t>
      </w:r>
    </w:p>
    <w:tbl>
      <w:tblPr>
        <w:tblStyle w:val="16"/>
        <w:tblW w:w="68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2054"/>
        <w:gridCol w:w="1080"/>
        <w:gridCol w:w="1080"/>
        <w:gridCol w:w="1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序号</w:t>
            </w:r>
          </w:p>
        </w:tc>
        <w:tc>
          <w:tcPr>
            <w:tcW w:w="2054"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岗位</w:t>
            </w:r>
          </w:p>
        </w:tc>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单位</w:t>
            </w:r>
          </w:p>
        </w:tc>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数量</w:t>
            </w:r>
          </w:p>
        </w:tc>
        <w:tc>
          <w:tcPr>
            <w:tcW w:w="1526"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1</w:t>
            </w:r>
          </w:p>
        </w:tc>
        <w:tc>
          <w:tcPr>
            <w:tcW w:w="2054"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巡检、分拣人员</w:t>
            </w:r>
          </w:p>
        </w:tc>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人</w:t>
            </w:r>
          </w:p>
        </w:tc>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2</w:t>
            </w:r>
          </w:p>
        </w:tc>
        <w:tc>
          <w:tcPr>
            <w:tcW w:w="1526"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2</w:t>
            </w:r>
          </w:p>
        </w:tc>
        <w:tc>
          <w:tcPr>
            <w:tcW w:w="2054"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驾驶员</w:t>
            </w:r>
          </w:p>
        </w:tc>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人</w:t>
            </w:r>
          </w:p>
        </w:tc>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1</w:t>
            </w:r>
          </w:p>
        </w:tc>
        <w:tc>
          <w:tcPr>
            <w:tcW w:w="1526"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3</w:t>
            </w:r>
          </w:p>
        </w:tc>
        <w:tc>
          <w:tcPr>
            <w:tcW w:w="2054"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管理员</w:t>
            </w:r>
          </w:p>
        </w:tc>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人</w:t>
            </w:r>
          </w:p>
        </w:tc>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1</w:t>
            </w:r>
          </w:p>
        </w:tc>
        <w:tc>
          <w:tcPr>
            <w:tcW w:w="1526"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小计</w:t>
            </w:r>
          </w:p>
        </w:tc>
        <w:tc>
          <w:tcPr>
            <w:tcW w:w="2054"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p>
        </w:tc>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p>
        </w:tc>
        <w:tc>
          <w:tcPr>
            <w:tcW w:w="1080"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r>
              <w:rPr>
                <w:rFonts w:hint="eastAsia" w:cs="宋体" w:asciiTheme="minorEastAsia" w:hAnsiTheme="minorEastAsia"/>
                <w:sz w:val="20"/>
                <w:szCs w:val="20"/>
              </w:rPr>
              <w:t>4人</w:t>
            </w:r>
          </w:p>
        </w:tc>
        <w:tc>
          <w:tcPr>
            <w:tcW w:w="1526" w:type="dxa"/>
            <w:tcBorders>
              <w:top w:val="single" w:color="auto" w:sz="4" w:space="0"/>
              <w:left w:val="single" w:color="auto" w:sz="4" w:space="0"/>
              <w:bottom w:val="single" w:color="auto" w:sz="4" w:space="0"/>
              <w:right w:val="single" w:color="auto" w:sz="4" w:space="0"/>
            </w:tcBorders>
            <w:shd w:val="clear" w:color="000000" w:fill="auto"/>
            <w:vAlign w:val="center"/>
          </w:tcPr>
          <w:p>
            <w:pPr>
              <w:jc w:val="center"/>
              <w:rPr>
                <w:rFonts w:cs="宋体" w:asciiTheme="minorEastAsia" w:hAnsiTheme="minorEastAsia"/>
                <w:sz w:val="20"/>
                <w:szCs w:val="20"/>
              </w:rPr>
            </w:pPr>
          </w:p>
        </w:tc>
      </w:tr>
    </w:tbl>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小区每1000户，安排2名巡检分拣人员，可回收收集人员，每天针对居民投放的垃圾包最大化的进行拆包巡检，巡检率不低于20%，并主动把分类不正确的垃圾包进行正确分类。确保每个垃圾桶的垃圾分类正确率70%以上，在小区内积极和小区居民进行互动，劝导倡导垃圾分类的做法和意义。</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安排志愿者督导人员1名，云管理平台汇总每天分类不正确的居民，督导人员根据汇总的信息，进行上门劝导工作，因居民大部分白天不在家，所以需要安排督导人员在晚6:00—8:30的时间段进行上门劝导工作，需提供入户照片及居民签字。每天汇总报表审核，并工作人员备注重复劝导的户主信息，作为督导员重点的劝导对象。</w:t>
      </w:r>
    </w:p>
    <w:p>
      <w:pPr>
        <w:pStyle w:val="4"/>
        <w:spacing w:before="0" w:after="0" w:line="360" w:lineRule="auto"/>
        <w:ind w:firstLine="632" w:firstLineChars="200"/>
        <w:rPr>
          <w:rFonts w:ascii="黑体" w:hAnsi="黑体"/>
          <w:b w:val="0"/>
          <w:bCs/>
          <w:szCs w:val="32"/>
        </w:rPr>
      </w:pPr>
      <w:bookmarkStart w:id="523" w:name="_Toc521881725"/>
      <w:bookmarkStart w:id="524" w:name="_Toc10202_WPSOffice_Level1"/>
      <w:bookmarkStart w:id="525" w:name="_Toc24502_WPSOffice_Level2"/>
      <w:bookmarkStart w:id="526" w:name="_Toc2588_WPSOffice_Level3"/>
      <w:bookmarkStart w:id="527" w:name="_Toc3382_WPSOffice_Level2"/>
      <w:bookmarkStart w:id="528" w:name="_Toc19753_WPSOffice_Level2"/>
      <w:bookmarkStart w:id="529" w:name="_Toc2674_WPSOffice_Level2"/>
      <w:bookmarkStart w:id="530" w:name="_Toc27589_WPSOffice_Level2"/>
      <w:r>
        <w:rPr>
          <w:rFonts w:hint="eastAsia" w:ascii="黑体" w:hAnsi="黑体"/>
          <w:b w:val="0"/>
          <w:bCs/>
          <w:szCs w:val="32"/>
        </w:rPr>
        <w:t>6.3.2机关单位</w:t>
      </w:r>
      <w:bookmarkEnd w:id="486"/>
      <w:bookmarkEnd w:id="487"/>
      <w:bookmarkEnd w:id="488"/>
      <w:bookmarkEnd w:id="489"/>
      <w:bookmarkEnd w:id="490"/>
      <w:bookmarkEnd w:id="491"/>
      <w:bookmarkEnd w:id="523"/>
      <w:bookmarkEnd w:id="524"/>
      <w:r>
        <w:rPr>
          <w:rFonts w:hint="eastAsia" w:ascii="黑体" w:hAnsi="黑体"/>
          <w:b w:val="0"/>
          <w:bCs/>
          <w:szCs w:val="32"/>
        </w:rPr>
        <w:t>垃圾分类收集系统</w:t>
      </w:r>
      <w:bookmarkEnd w:id="525"/>
      <w:bookmarkEnd w:id="526"/>
      <w:bookmarkEnd w:id="527"/>
      <w:bookmarkEnd w:id="528"/>
      <w:bookmarkEnd w:id="529"/>
      <w:bookmarkEnd w:id="53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机关单位按照餐厨垃圾、可回收垃圾、有毒有害垃圾和其他垃圾进行垃圾分类，在人员较多的机关单位配备一套智能回收箱体和有毒有害垃圾桶，共5个箱体，分别用于收集纸张、金属、玻璃、塑料等可回收物，一个用于收集有害垃圾（如电池、过期药品等），其他人数较少的机关单位，则在办公区院子里配置一组四分法普通垃圾桶。</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机关单位工作人员刷二维码卡识别身份后，可将可回收物投递至正确的箱内，实现垃圾可控式分类。针对可回收物，系统根据种类和重量，将相应积分返还机关单位工作人员积分账户汇总；配备有毒有害回收箱，机关单位工作人员即可有害垃圾（如电池、过期药品、灯管等）投掷箱内，避免污染环境。</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配备积分兑换机或者积分超市，机关单位工作人员通过刷个人二维码，以垃圾分类获取的积分兑换所需的礼品，大大提升机关工作人员垃圾分类和可回收物品投放的积极性。</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机关单位生活垃圾分类收运采用餐厨垃圾、其他垃圾、可回收物和有害垃圾集中回收的方式。</w:t>
      </w:r>
    </w:p>
    <w:p>
      <w:pPr>
        <w:spacing w:line="578" w:lineRule="exact"/>
        <w:ind w:firstLine="632" w:firstLineChars="200"/>
        <w:rPr>
          <w:rFonts w:ascii="仿宋_GB2312" w:hAnsi="仿宋_GB2312" w:eastAsia="仿宋_GB2312" w:cs="仿宋_GB2312"/>
          <w:sz w:val="32"/>
          <w:szCs w:val="32"/>
        </w:rPr>
      </w:pPr>
      <w:bookmarkStart w:id="531" w:name="_Toc11650_WPSOffice_Level3"/>
      <w:bookmarkStart w:id="532" w:name="_Toc25140_WPSOffice_Level3"/>
      <w:bookmarkStart w:id="533" w:name="_Toc26312_WPSOffice_Level3"/>
      <w:bookmarkStart w:id="534" w:name="_Toc4611_WPSOffice_Level3"/>
      <w:bookmarkStart w:id="535" w:name="_Toc32093_WPSOffice_Level3"/>
      <w:r>
        <w:rPr>
          <w:rFonts w:hint="eastAsia" w:ascii="仿宋_GB2312" w:hAnsi="仿宋_GB2312" w:eastAsia="仿宋_GB2312" w:cs="仿宋_GB2312"/>
          <w:sz w:val="32"/>
          <w:szCs w:val="32"/>
        </w:rPr>
        <w:t>（1）人员较多的机关单位</w:t>
      </w:r>
      <w:bookmarkEnd w:id="531"/>
      <w:bookmarkEnd w:id="532"/>
      <w:bookmarkEnd w:id="533"/>
      <w:bookmarkEnd w:id="534"/>
      <w:bookmarkEnd w:id="535"/>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在机关单位院内的中心区域设置一套智能可回收分类箱和有毒有害回收箱，用于收集可回收物和有害垃圾。</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机关单位工作人员使用智能回收分类箱时首先扫描个人的智能二维码卡或者微信二维码，扫描成功按按钮后，智能可回收分类箱自动开启对应种类垃圾的回收箱门，垃圾投放可回收物经过称重后，自动实时重量上传到系统，系统智能计算每次投放垃圾的积分并累加到个人积分账户中。</w:t>
      </w:r>
    </w:p>
    <w:p>
      <w:pPr>
        <w:jc w:val="center"/>
        <w:rPr>
          <w:rFonts w:eastAsia="宋体" w:cs="Times New Roman"/>
        </w:rPr>
      </w:pPr>
      <w:r>
        <w:drawing>
          <wp:inline distT="0" distB="0" distL="0" distR="0">
            <wp:extent cx="4812665" cy="3508375"/>
            <wp:effectExtent l="0" t="0" r="6985" b="1587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12665" cy="3508375"/>
                    </a:xfrm>
                    <a:prstGeom prst="rect">
                      <a:avLst/>
                    </a:prstGeom>
                  </pic:spPr>
                </pic:pic>
              </a:graphicData>
            </a:graphic>
          </wp:inline>
        </w:drawing>
      </w:r>
    </w:p>
    <w:p>
      <w:pPr>
        <w:spacing w:line="578" w:lineRule="exact"/>
        <w:ind w:firstLine="632" w:firstLineChars="200"/>
        <w:rPr>
          <w:rFonts w:ascii="仿宋_GB2312" w:hAnsi="仿宋_GB2312" w:eastAsia="仿宋_GB2312" w:cs="仿宋_GB2312"/>
          <w:sz w:val="32"/>
          <w:szCs w:val="32"/>
        </w:rPr>
      </w:pPr>
      <w:bookmarkStart w:id="536" w:name="_Toc12412_WPSOffice_Level3"/>
      <w:bookmarkStart w:id="537" w:name="_Toc23714_WPSOffice_Level3"/>
      <w:bookmarkStart w:id="538" w:name="_Toc3662_WPSOffice_Level3"/>
      <w:bookmarkStart w:id="539" w:name="_Toc4712_WPSOffice_Level3"/>
      <w:bookmarkStart w:id="540" w:name="_Toc17615_WPSOffice_Level3"/>
      <w:r>
        <w:rPr>
          <w:rFonts w:hint="eastAsia" w:ascii="仿宋_GB2312" w:hAnsi="仿宋_GB2312" w:eastAsia="仿宋_GB2312" w:cs="仿宋_GB2312"/>
          <w:sz w:val="32"/>
          <w:szCs w:val="32"/>
        </w:rPr>
        <w:t>（2）人员较少的机关单位</w:t>
      </w:r>
      <w:bookmarkEnd w:id="536"/>
      <w:bookmarkEnd w:id="537"/>
      <w:bookmarkEnd w:id="538"/>
      <w:bookmarkEnd w:id="539"/>
      <w:bookmarkEnd w:id="54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人数较少的机关单位，均配备一套的四分120L普通垃圾桶（收集厨余垃圾、其他垃圾、可回收物、有害垃圾），实现可回收物和有害垃圾的分类收集，培养机关单位人员的垃圾分类习惯，积极响应国家提出的机关单位先行实施垃圾分类的战略部署。</w:t>
      </w:r>
    </w:p>
    <w:p>
      <w:r>
        <w:rPr>
          <w:rFonts w:hint="eastAsia"/>
        </w:rPr>
        <w:drawing>
          <wp:inline distT="0" distB="0" distL="0" distR="0">
            <wp:extent cx="5182870" cy="3738245"/>
            <wp:effectExtent l="0" t="0" r="17780" b="14605"/>
            <wp:docPr id="10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8"/>
                    <pic:cNvPicPr>
                      <a:picLocks noChangeAspect="1" noChangeArrowheads="1"/>
                    </pic:cNvPicPr>
                  </pic:nvPicPr>
                  <pic:blipFill>
                    <a:blip r:embed="rId43" cstate="print"/>
                    <a:srcRect l="6978"/>
                    <a:stretch>
                      <a:fillRect/>
                    </a:stretch>
                  </pic:blipFill>
                  <pic:spPr>
                    <a:xfrm>
                      <a:off x="0" y="0"/>
                      <a:ext cx="5182870" cy="3738245"/>
                    </a:xfrm>
                    <a:prstGeom prst="rect">
                      <a:avLst/>
                    </a:prstGeom>
                    <a:noFill/>
                    <a:ln w="9525">
                      <a:noFill/>
                      <a:miter lim="800000"/>
                      <a:headEnd/>
                      <a:tailEnd/>
                    </a:ln>
                  </pic:spPr>
                </pic:pic>
              </a:graphicData>
            </a:graphic>
          </wp:inline>
        </w:drawing>
      </w:r>
    </w:p>
    <w:p>
      <w:pPr>
        <w:spacing w:line="578" w:lineRule="exact"/>
        <w:ind w:firstLine="632" w:firstLineChars="200"/>
        <w:rPr>
          <w:rFonts w:ascii="仿宋_GB2312" w:hAnsi="仿宋_GB2312" w:eastAsia="仿宋_GB2312" w:cs="仿宋_GB2312"/>
          <w:sz w:val="32"/>
          <w:szCs w:val="32"/>
        </w:rPr>
      </w:pPr>
      <w:bookmarkStart w:id="541" w:name="_Toc519897780"/>
      <w:bookmarkStart w:id="542" w:name="_Toc26901_WPSOffice_Level1"/>
      <w:bookmarkStart w:id="543" w:name="_Toc20145_WPSOffice_Level1"/>
      <w:bookmarkStart w:id="544" w:name="_Toc7658_WPSOffice_Level1"/>
      <w:bookmarkStart w:id="545" w:name="_Toc19858_WPSOffice_Level1"/>
      <w:bookmarkStart w:id="546" w:name="_Toc12199_WPSOffice_Level1"/>
      <w:bookmarkStart w:id="547" w:name="_Toc521881729"/>
      <w:bookmarkStart w:id="548" w:name="_Toc29201_WPSOffice_Level1"/>
      <w:r>
        <w:rPr>
          <w:rFonts w:hint="eastAsia" w:ascii="仿宋_GB2312" w:hAnsi="仿宋_GB2312" w:eastAsia="仿宋_GB2312" w:cs="仿宋_GB2312"/>
          <w:sz w:val="32"/>
          <w:szCs w:val="32"/>
        </w:rPr>
        <w:t>（4）巡检督导</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宣传培训后，通过安排相关人员作为巡检督导，监督及指导使用垃圾分类的设备，提高垃圾分类的正确率。如有分类不正确现象，及时提醒重新分类。对分类结果好的，则可适当给予积分奖励。同时做好垃圾分类宣传工作，了解垃圾分类工作的重要性，并积极的参与进来。</w:t>
      </w:r>
    </w:p>
    <w:p>
      <w:pPr>
        <w:pStyle w:val="4"/>
        <w:spacing w:before="0" w:after="0" w:line="360" w:lineRule="auto"/>
        <w:ind w:firstLine="632" w:firstLineChars="200"/>
        <w:rPr>
          <w:rFonts w:ascii="黑体" w:hAnsi="黑体"/>
          <w:b w:val="0"/>
          <w:bCs/>
          <w:szCs w:val="32"/>
        </w:rPr>
      </w:pPr>
      <w:bookmarkStart w:id="549" w:name="_Toc28286_WPSOffice_Level3"/>
      <w:bookmarkStart w:id="550" w:name="_Toc6906_WPSOffice_Level2"/>
      <w:bookmarkStart w:id="551" w:name="_Toc30972_WPSOffice_Level2"/>
      <w:bookmarkStart w:id="552" w:name="_Toc28280_WPSOffice_Level2"/>
      <w:bookmarkStart w:id="553" w:name="_Toc19493_WPSOffice_Level2"/>
      <w:bookmarkStart w:id="554" w:name="_Toc28746_WPSOffice_Level2"/>
      <w:r>
        <w:rPr>
          <w:rFonts w:hint="eastAsia" w:ascii="黑体" w:hAnsi="黑体"/>
          <w:b w:val="0"/>
          <w:bCs/>
          <w:szCs w:val="32"/>
        </w:rPr>
        <w:t>6.3.3学校</w:t>
      </w:r>
      <w:bookmarkEnd w:id="541"/>
      <w:bookmarkEnd w:id="542"/>
      <w:bookmarkEnd w:id="543"/>
      <w:bookmarkEnd w:id="544"/>
      <w:bookmarkEnd w:id="545"/>
      <w:bookmarkEnd w:id="546"/>
      <w:bookmarkEnd w:id="547"/>
      <w:bookmarkEnd w:id="548"/>
      <w:r>
        <w:rPr>
          <w:rFonts w:hint="eastAsia" w:ascii="黑体" w:hAnsi="黑体"/>
          <w:b w:val="0"/>
          <w:bCs/>
          <w:szCs w:val="32"/>
        </w:rPr>
        <w:t>垃圾分类收集系统</w:t>
      </w:r>
      <w:bookmarkEnd w:id="549"/>
      <w:bookmarkEnd w:id="550"/>
      <w:bookmarkEnd w:id="551"/>
      <w:bookmarkEnd w:id="552"/>
      <w:bookmarkEnd w:id="553"/>
      <w:bookmarkEnd w:id="554"/>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现有各级各类学校89所，在校学生32277人。其中幼儿园37所，在校学生3768人；小学28所，在校学生13875人；初中9所，在校学生7260人；高中5所，在校学生4545人；中等专业学校和大专院校10所，在校学生2829人。</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校园垃圾中，废纸约占10%，塑料包装约占5%，电池、碎玻璃约占5%，食物等饮食垃圾比重较大，约占80%。总体上看，在食堂主要是餐饮垃圾，包括塑料餐盒和食物等，宿舍区主要有塑料食品包装、瓜皮、果核等。</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w:t>
      </w:r>
      <w:r>
        <w:fldChar w:fldCharType="begin"/>
      </w:r>
      <w:r>
        <w:instrText xml:space="preserve"> HYPERLINK "https://www.dxsbb.com/news/list_123.html" \t "_blank" </w:instrText>
      </w:r>
      <w:r>
        <w:fldChar w:fldCharType="separate"/>
      </w:r>
      <w:r>
        <w:rPr>
          <w:rFonts w:hint="eastAsia" w:ascii="仿宋_GB2312" w:hAnsi="仿宋_GB2312" w:eastAsia="仿宋_GB2312" w:cs="仿宋_GB2312"/>
          <w:sz w:val="32"/>
          <w:szCs w:val="32"/>
        </w:rPr>
        <w:t>甘肃</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钢铁职业技术学院、嘉峪关市职业中等专业学校、高中、初中、</w:t>
      </w:r>
      <w:r>
        <w:fldChar w:fldCharType="begin"/>
      </w:r>
      <w:r>
        <w:instrText xml:space="preserve"> HYPERLINK "http://www.go007.com/ditu/xiaoxue/1385835.html" </w:instrText>
      </w:r>
      <w:r>
        <w:fldChar w:fldCharType="separate"/>
      </w:r>
      <w:r>
        <w:rPr>
          <w:rFonts w:hint="eastAsia" w:ascii="仿宋_GB2312" w:hAnsi="仿宋_GB2312" w:eastAsia="仿宋_GB2312" w:cs="仿宋_GB2312"/>
          <w:sz w:val="32"/>
          <w:szCs w:val="32"/>
        </w:rPr>
        <w:t>嘉峪关市逸夫小学</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w:t>
      </w:r>
      <w:r>
        <w:fldChar w:fldCharType="begin"/>
      </w:r>
      <w:r>
        <w:instrText xml:space="preserve"> HYPERLINK "http://www.go007.com/ditu/xiaoxue/1383207.html" </w:instrText>
      </w:r>
      <w:r>
        <w:fldChar w:fldCharType="separate"/>
      </w:r>
      <w:r>
        <w:rPr>
          <w:rFonts w:hint="eastAsia" w:ascii="仿宋_GB2312" w:hAnsi="仿宋_GB2312" w:eastAsia="仿宋_GB2312" w:cs="仿宋_GB2312"/>
          <w:sz w:val="32"/>
          <w:szCs w:val="32"/>
        </w:rPr>
        <w:t>嘉峪关市胜利路小学</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w:t>
      </w:r>
      <w:r>
        <w:fldChar w:fldCharType="begin"/>
      </w:r>
      <w:r>
        <w:instrText xml:space="preserve"> HYPERLINK "http://www.go007.com/ditu/xiaoxue/1384766.html" </w:instrText>
      </w:r>
      <w:r>
        <w:fldChar w:fldCharType="separate"/>
      </w:r>
      <w:r>
        <w:rPr>
          <w:rFonts w:hint="eastAsia" w:ascii="仿宋_GB2312" w:hAnsi="仿宋_GB2312" w:eastAsia="仿宋_GB2312" w:cs="仿宋_GB2312"/>
          <w:sz w:val="32"/>
          <w:szCs w:val="32"/>
        </w:rPr>
        <w:t>嘉峪关市建设路小学</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各配备一套四分法智能可回收箱、一套二分法智能分类箱，一个有毒有害垃圾箱，一共7个箱体，其中，4个箱体用于收集可回收物，2个箱体用于收集餐厨垃圾和其他垃圾，1个用于收集有害垃圾（如电池、日光灯管等）。</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针对可回收以及有毒有害垃圾，采用投放电动三轮车从各个小区及学校企事业单位转运至中转站然后再由回收平板运输车运输至分拣中心，进行细分化的二次分拣及无害化处理。</w:t>
      </w:r>
    </w:p>
    <w:p>
      <w:pPr>
        <w:pStyle w:val="21"/>
        <w:ind w:firstLine="0" w:firstLineChars="0"/>
        <w:jc w:val="center"/>
      </w:pPr>
      <w:r>
        <w:rPr>
          <w:rFonts w:hint="eastAsia"/>
          <w:b/>
          <w:bCs/>
          <w:sz w:val="24"/>
        </w:rPr>
        <w:drawing>
          <wp:inline distT="0" distB="0" distL="114300" distR="114300">
            <wp:extent cx="2836545" cy="2196465"/>
            <wp:effectExtent l="0" t="0" r="1905" b="13335"/>
            <wp:docPr id="42" name="图片 42" descr="21647626123380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16476261233805967"/>
                    <pic:cNvPicPr>
                      <a:picLocks noChangeAspect="1"/>
                    </pic:cNvPicPr>
                  </pic:nvPicPr>
                  <pic:blipFill>
                    <a:blip r:embed="rId44" cstate="print"/>
                    <a:stretch>
                      <a:fillRect/>
                    </a:stretch>
                  </pic:blipFill>
                  <pic:spPr>
                    <a:xfrm>
                      <a:off x="0" y="0"/>
                      <a:ext cx="2836545" cy="2196465"/>
                    </a:xfrm>
                    <a:prstGeom prst="rect">
                      <a:avLst/>
                    </a:prstGeom>
                  </pic:spPr>
                </pic:pic>
              </a:graphicData>
            </a:graphic>
          </wp:inline>
        </w:drawing>
      </w:r>
      <w:r>
        <w:rPr>
          <w:rFonts w:cs="宋体"/>
          <w:szCs w:val="21"/>
        </w:rPr>
        <w:drawing>
          <wp:inline distT="0" distB="0" distL="0" distR="0">
            <wp:extent cx="2865755" cy="2170430"/>
            <wp:effectExtent l="0" t="0" r="10795" b="127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65755" cy="2170430"/>
                    </a:xfrm>
                    <a:prstGeom prst="rect">
                      <a:avLst/>
                    </a:prstGeom>
                  </pic:spPr>
                </pic:pic>
              </a:graphicData>
            </a:graphic>
          </wp:inline>
        </w:drawing>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每个班级发放一张智能积分卡，分别对应收集班级中的餐厨垃圾、可回收物、其他垃圾和有害垃圾，每天由值日生负责投递至对应的智能箱体内收集。系统按投放次数将奖励积分返还班级账户中，垃圾分类获取的积分可兑换所需的学习用品，会激励各班级学生参与垃圾分类和班级间的评比；同时提高学生的垃圾分类意识，教育意义重大。</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在学校中心区域设置一套可回收分类箱、一套二分法智能分类箱和有毒有害回收箱，分别用于收集可回收物、餐厨垃圾、其他垃圾和有害垃圾。</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智能可回收分类箱包括4个箱体，分别对应4种可回收垃圾：纸张、玻璃、塑料、金属，以及其他垃圾；有毒有害回收箱一般为抽屉式，可以回收日光灯管、过期药品、干电池等，智能二分法分类箱可收集餐厨垃圾和其他垃圾。学生使用智能回收分类箱时首先扫描班级的智能卡二维码，扫描成功后，按按钮后，智能可回收分类箱自动开启对应种类垃圾的回收箱门，垃圾投放成功后，可回收物经过称重，实时重量自动上传到系统，系统智能计算每次投放垃圾增加的积分并累加到班级积分账户中。</w:t>
      </w:r>
    </w:p>
    <w:p>
      <w:pPr>
        <w:jc w:val="center"/>
        <w:rPr>
          <w:rFonts w:ascii="宋体" w:hAnsi="宋体"/>
          <w:szCs w:val="24"/>
        </w:rPr>
      </w:pPr>
      <w:r>
        <w:rPr>
          <w:rFonts w:hint="eastAsia" w:ascii="宋体" w:hAnsi="宋体" w:eastAsia="宋体" w:cs="Times New Roman"/>
          <w:szCs w:val="24"/>
        </w:rPr>
        <w:drawing>
          <wp:inline distT="0" distB="0" distL="114300" distR="114300">
            <wp:extent cx="3992245" cy="4671695"/>
            <wp:effectExtent l="0" t="0" r="8255" b="14605"/>
            <wp:docPr id="158" name="图片 158" descr="智能二分法垃圾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智能二分法垃圾箱"/>
                    <pic:cNvPicPr>
                      <a:picLocks noChangeAspect="1"/>
                    </pic:cNvPicPr>
                  </pic:nvPicPr>
                  <pic:blipFill>
                    <a:blip r:embed="rId46" cstate="print"/>
                    <a:stretch>
                      <a:fillRect/>
                    </a:stretch>
                  </pic:blipFill>
                  <pic:spPr>
                    <a:xfrm>
                      <a:off x="0" y="0"/>
                      <a:ext cx="3992245" cy="4671695"/>
                    </a:xfrm>
                    <a:prstGeom prst="rect">
                      <a:avLst/>
                    </a:prstGeom>
                  </pic:spPr>
                </pic:pic>
              </a:graphicData>
            </a:graphic>
          </wp:inline>
        </w:drawing>
      </w:r>
    </w:p>
    <w:p>
      <w:pPr>
        <w:pStyle w:val="21"/>
        <w:ind w:firstLine="0" w:firstLineChars="0"/>
        <w:jc w:val="center"/>
      </w:pPr>
      <w:r>
        <w:rPr>
          <w:rFonts w:eastAsia="仿宋_GB2312"/>
          <w:sz w:val="30"/>
          <w:szCs w:val="30"/>
        </w:rPr>
        <w:drawing>
          <wp:inline distT="0" distB="0" distL="114300" distR="114300">
            <wp:extent cx="4881880" cy="2941320"/>
            <wp:effectExtent l="0" t="0" r="13970" b="11430"/>
            <wp:docPr id="175" name="图片 13" descr="社区生活垃圾服务方案(通用版）(2)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3" descr="社区生活垃圾服务方案(通用版）(2)_15"/>
                    <pic:cNvPicPr>
                      <a:picLocks noChangeAspect="1"/>
                    </pic:cNvPicPr>
                  </pic:nvPicPr>
                  <pic:blipFill>
                    <a:blip r:embed="rId47" cstate="print"/>
                    <a:srcRect l="7396" t="8936" b="51642"/>
                    <a:stretch>
                      <a:fillRect/>
                    </a:stretch>
                  </pic:blipFill>
                  <pic:spPr>
                    <a:xfrm>
                      <a:off x="0" y="0"/>
                      <a:ext cx="4881880" cy="2941320"/>
                    </a:xfrm>
                    <a:prstGeom prst="rect">
                      <a:avLst/>
                    </a:prstGeom>
                    <a:noFill/>
                    <a:ln>
                      <a:noFill/>
                    </a:ln>
                  </pic:spPr>
                </pic:pic>
              </a:graphicData>
            </a:graphic>
          </wp:inline>
        </w:drawing>
      </w:r>
    </w:p>
    <w:bookmarkEnd w:id="492"/>
    <w:bookmarkEnd w:id="493"/>
    <w:p>
      <w:pPr>
        <w:spacing w:line="578" w:lineRule="exact"/>
        <w:ind w:firstLine="632" w:firstLineChars="200"/>
        <w:rPr>
          <w:rFonts w:ascii="仿宋_GB2312" w:hAnsi="仿宋_GB2312" w:eastAsia="仿宋_GB2312" w:cs="仿宋_GB2312"/>
          <w:sz w:val="32"/>
          <w:szCs w:val="32"/>
        </w:rPr>
      </w:pPr>
      <w:bookmarkStart w:id="555" w:name="_Toc18001_WPSOffice_Level2"/>
      <w:bookmarkStart w:id="556" w:name="_Toc13661_WPSOffice_Level2"/>
      <w:bookmarkStart w:id="557" w:name="_Toc12723_WPSOffice_Level2"/>
      <w:bookmarkStart w:id="558" w:name="_Toc24946_WPSOffice_Level2"/>
      <w:bookmarkStart w:id="559" w:name="_Toc31382_WPSOffice_Level1"/>
      <w:bookmarkStart w:id="560" w:name="_Toc31644_WPSOffice_Level2"/>
      <w:bookmarkStart w:id="561" w:name="_Toc16776"/>
      <w:bookmarkStart w:id="562" w:name="_Toc32446"/>
      <w:r>
        <w:rPr>
          <w:rFonts w:hint="eastAsia" w:ascii="仿宋_GB2312" w:hAnsi="仿宋_GB2312" w:eastAsia="仿宋_GB2312" w:cs="仿宋_GB2312"/>
          <w:sz w:val="32"/>
          <w:szCs w:val="32"/>
        </w:rPr>
        <w:t>（4）巡检督导</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应以老师为主，学生为辅，安排以班主任带头巡检指导学校各班级及食堂宿舍区的垃圾分类投放情况，确保更好的使用垃圾分类的设备，提高垃圾分类的正确率。如有分类不正确现象，及时提出提醒并予以指导教育，重新分类。对分类结果好的，则可适当给予积分奖励或者在全校提出表扬。同时做好垃圾分类宣传工作，让全校师生能认识到垃圾分类工作的重要性，并积极的参与进来。</w:t>
      </w:r>
    </w:p>
    <w:p>
      <w:pPr>
        <w:pStyle w:val="4"/>
        <w:spacing w:before="0" w:after="0" w:line="360" w:lineRule="auto"/>
        <w:ind w:firstLine="632" w:firstLineChars="200"/>
        <w:rPr>
          <w:rFonts w:ascii="黑体" w:hAnsi="黑体"/>
          <w:b w:val="0"/>
          <w:bCs/>
          <w:szCs w:val="32"/>
        </w:rPr>
      </w:pPr>
      <w:bookmarkStart w:id="563" w:name="_Toc12474_WPSOffice_Level3"/>
      <w:r>
        <w:rPr>
          <w:rFonts w:hint="eastAsia" w:ascii="黑体" w:hAnsi="黑体"/>
          <w:b w:val="0"/>
          <w:bCs/>
          <w:szCs w:val="32"/>
        </w:rPr>
        <w:t>6.3.4积分兑换系统</w:t>
      </w:r>
      <w:bookmarkEnd w:id="555"/>
      <w:bookmarkEnd w:id="556"/>
      <w:bookmarkEnd w:id="557"/>
      <w:bookmarkEnd w:id="558"/>
      <w:bookmarkEnd w:id="559"/>
      <w:bookmarkEnd w:id="560"/>
      <w:bookmarkEnd w:id="563"/>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在小区、机关单位、学校采用积分超市APP模式来兑换积分，可以由超市提供兑换服务，政府监控并给予补贴。</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积分超市APP是一种没有硬件投入的积分兑换商品形式，由第三方提供商品和服务，将政府的垃圾分类积分奖励政策落地实施，激励住户参与垃圾分类、更好分类。 </w:t>
      </w:r>
    </w:p>
    <w:p>
      <w:pPr>
        <w:spacing w:line="578" w:lineRule="exact"/>
        <w:ind w:firstLine="632" w:firstLineChars="200"/>
        <w:rPr>
          <w:rFonts w:ascii="仿宋_GB2312" w:hAnsi="仿宋_GB2312" w:eastAsia="仿宋_GB2312" w:cs="仿宋_GB2312"/>
          <w:sz w:val="32"/>
          <w:szCs w:val="32"/>
        </w:rPr>
      </w:pPr>
      <w:bookmarkStart w:id="564" w:name="_Toc12894_WPSOffice_Level3"/>
      <w:bookmarkStart w:id="565" w:name="_Toc8193_WPSOffice_Level3"/>
      <w:bookmarkStart w:id="566" w:name="_Toc28728_WPSOffice_Level3"/>
      <w:bookmarkStart w:id="567" w:name="_Toc29878_WPSOffice_Level3"/>
      <w:bookmarkStart w:id="568" w:name="_Toc7945_WPSOffice_Level3"/>
      <w:r>
        <w:rPr>
          <w:rFonts w:hint="eastAsia" w:ascii="仿宋_GB2312" w:hAnsi="仿宋_GB2312" w:eastAsia="仿宋_GB2312" w:cs="仿宋_GB2312"/>
          <w:sz w:val="32"/>
          <w:szCs w:val="32"/>
        </w:rPr>
        <w:t>（1）积分超市APP优点</w:t>
      </w:r>
      <w:bookmarkEnd w:id="564"/>
      <w:bookmarkEnd w:id="565"/>
      <w:bookmarkEnd w:id="566"/>
      <w:bookmarkEnd w:id="567"/>
      <w:bookmarkEnd w:id="568"/>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 xml:space="preserve">1）积分超市APP为纯软件，手机安装即可使用，无需购买硬件，实施成本低； </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2）积分超市APP由积分超市店主提供商品和服务，政府部门负责监督，大大减小工作量；</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3）使用积分超市APP兑换商品，商品种类丰富，理论上积分超市内所有商品都可进行兑换（满足一定积分数量），不指定商品的兑换更能激发市民的垃圾分类参与度；</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4）以最低的成本将垃圾分类积分奖励落地实施，激励市民积极参与垃圾分类。</w:t>
      </w:r>
    </w:p>
    <w:p>
      <w:pPr>
        <w:spacing w:line="578" w:lineRule="exact"/>
        <w:ind w:firstLine="632" w:firstLineChars="200"/>
        <w:rPr>
          <w:rFonts w:ascii="仿宋_GB2312" w:hAnsi="仿宋_GB2312" w:eastAsia="仿宋_GB2312" w:cs="仿宋_GB2312"/>
          <w:sz w:val="32"/>
          <w:szCs w:val="32"/>
        </w:rPr>
      </w:pPr>
      <w:bookmarkStart w:id="569" w:name="_Toc13861_WPSOffice_Level2"/>
      <w:bookmarkStart w:id="570" w:name="_Toc30099_WPSOffice_Level3"/>
      <w:bookmarkStart w:id="571" w:name="_Toc15622_WPSOffice_Level3"/>
      <w:bookmarkStart w:id="572" w:name="_Toc31173_WPSOffice_Level3"/>
      <w:bookmarkStart w:id="573" w:name="_Toc14766_WPSOffice_Level3"/>
      <w:bookmarkStart w:id="574" w:name="_Toc6875_WPSOffice_Level3"/>
      <w:r>
        <w:rPr>
          <w:rFonts w:hint="eastAsia" w:ascii="仿宋_GB2312" w:hAnsi="仿宋_GB2312" w:eastAsia="仿宋_GB2312" w:cs="仿宋_GB2312"/>
          <w:sz w:val="32"/>
          <w:szCs w:val="32"/>
        </w:rPr>
        <w:t>（2）积分兑换机</w:t>
      </w:r>
      <w:bookmarkEnd w:id="569"/>
      <w:bookmarkEnd w:id="570"/>
      <w:bookmarkEnd w:id="571"/>
      <w:bookmarkEnd w:id="572"/>
      <w:bookmarkEnd w:id="573"/>
      <w:bookmarkEnd w:id="574"/>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机关单位工作人员可在积分兑换机上兑换商品，同时，机关单位可设置垃圾分类先进个人或者垃圾分类积极分子奖项，激励机关工作人员积极参与。</w:t>
      </w:r>
    </w:p>
    <w:p>
      <w:pPr>
        <w:ind w:firstLine="480"/>
        <w:jc w:val="center"/>
        <w:rPr>
          <w:rFonts w:ascii="宋体" w:hAnsi="宋体"/>
          <w:szCs w:val="24"/>
        </w:rPr>
      </w:pPr>
      <w:r>
        <w:rPr>
          <w:rFonts w:ascii="宋体" w:hAnsi="宋体"/>
          <w:szCs w:val="24"/>
        </w:rPr>
        <w:drawing>
          <wp:inline distT="0" distB="0" distL="0" distR="0">
            <wp:extent cx="4166870" cy="3416300"/>
            <wp:effectExtent l="0" t="0" r="5080" b="12700"/>
            <wp:docPr id="15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4166870" cy="3416300"/>
                    </a:xfrm>
                    <a:prstGeom prst="rect">
                      <a:avLst/>
                    </a:prstGeom>
                    <a:noFill/>
                    <a:ln>
                      <a:noFill/>
                    </a:ln>
                  </pic:spPr>
                </pic:pic>
              </a:graphicData>
            </a:graphic>
          </wp:inline>
        </w:drawing>
      </w:r>
    </w:p>
    <w:p>
      <w:pPr>
        <w:rPr>
          <w:rFonts w:ascii="宋体" w:hAnsi="宋体" w:eastAsia="宋体" w:cs="Times New Roman"/>
          <w:szCs w:val="24"/>
        </w:rPr>
      </w:pPr>
    </w:p>
    <w:p>
      <w:pPr>
        <w:pStyle w:val="4"/>
        <w:spacing w:before="0" w:after="0" w:line="360" w:lineRule="auto"/>
        <w:ind w:firstLine="632" w:firstLineChars="200"/>
        <w:rPr>
          <w:rFonts w:ascii="黑体" w:hAnsi="黑体"/>
          <w:b w:val="0"/>
          <w:bCs/>
          <w:szCs w:val="32"/>
        </w:rPr>
      </w:pPr>
      <w:bookmarkStart w:id="575" w:name="_Toc16278_WPSOffice_Level1"/>
      <w:bookmarkStart w:id="576" w:name="_Toc7063_WPSOffice_Level1"/>
      <w:bookmarkStart w:id="577" w:name="_Toc15571_WPSOffice_Level2"/>
      <w:bookmarkStart w:id="578" w:name="_Toc485037690"/>
      <w:bookmarkStart w:id="579" w:name="_Toc22580_WPSOffice_Level2"/>
      <w:bookmarkStart w:id="580" w:name="_Toc30604_WPSOffice_Level3"/>
      <w:bookmarkStart w:id="581" w:name="_Toc579_WPSOffice_Level1"/>
      <w:bookmarkStart w:id="582" w:name="_Toc10607_WPSOffice_Level2"/>
      <w:bookmarkStart w:id="583" w:name="_Toc7022_WPSOffice_Level1"/>
      <w:bookmarkStart w:id="584" w:name="_Toc513626955"/>
      <w:bookmarkStart w:id="585" w:name="_Toc31665_WPSOffice_Level2"/>
      <w:bookmarkStart w:id="586" w:name="_Toc521881736"/>
      <w:bookmarkStart w:id="587" w:name="_Toc24380_WPSOffice_Level1"/>
      <w:bookmarkStart w:id="588" w:name="_Toc519897791"/>
      <w:bookmarkStart w:id="589" w:name="_Toc7106_WPSOffice_Level1"/>
      <w:bookmarkStart w:id="590" w:name="_Toc28151_WPSOffice_Level2"/>
      <w:r>
        <w:rPr>
          <w:rFonts w:hint="eastAsia" w:ascii="黑体" w:hAnsi="黑体"/>
          <w:b w:val="0"/>
          <w:bCs/>
          <w:szCs w:val="32"/>
        </w:rPr>
        <w:t>6.3.5餐厨垃圾处理设备方案</w:t>
      </w:r>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p>
    <w:p>
      <w:pPr>
        <w:ind w:firstLine="632" w:firstLineChars="200"/>
        <w:rPr>
          <w:rFonts w:ascii="仿宋_GB2312" w:hAnsi="仿宋_GB2312" w:eastAsia="仿宋_GB2312" w:cs="仿宋_GB2312"/>
          <w:sz w:val="32"/>
          <w:szCs w:val="32"/>
        </w:rPr>
      </w:pPr>
      <w:bookmarkStart w:id="591" w:name="_Toc4523_WPSOffice_Level3"/>
      <w:bookmarkStart w:id="592" w:name="_Toc30211_WPSOffice_Level2"/>
      <w:bookmarkStart w:id="593" w:name="_Toc30702_WPSOffice_Level2"/>
      <w:bookmarkStart w:id="594" w:name="_Toc107_WPSOffice_Level2"/>
      <w:bookmarkStart w:id="595" w:name="_Toc519897792"/>
      <w:bookmarkStart w:id="596" w:name="_Toc18280_WPSOffice_Level3"/>
      <w:bookmarkStart w:id="597" w:name="_Toc521881737"/>
      <w:bookmarkStart w:id="598" w:name="_Toc27647_WPSOffice_Level2"/>
      <w:bookmarkStart w:id="599" w:name="_Toc18419_WPSOffice_Level2"/>
      <w:bookmarkStart w:id="600" w:name="_Toc28587_WPSOffice_Level3"/>
      <w:bookmarkStart w:id="601" w:name="_Toc23816_WPSOffice_Level2"/>
      <w:bookmarkStart w:id="602" w:name="_Toc3388_WPSOffice_Level3"/>
      <w:bookmarkStart w:id="603" w:name="_Toc28455_WPSOffice_Level3"/>
      <w:bookmarkStart w:id="604" w:name="_Toc485037691"/>
      <w:bookmarkStart w:id="605" w:name="_Toc470185476"/>
      <w:bookmarkStart w:id="606" w:name="_Toc513626956"/>
      <w:bookmarkStart w:id="607" w:name="_Toc467668425"/>
      <w:r>
        <w:rPr>
          <w:rFonts w:hint="eastAsia" w:ascii="仿宋_GB2312" w:hAnsi="仿宋_GB2312" w:eastAsia="仿宋_GB2312" w:cs="仿宋_GB2312"/>
          <w:sz w:val="32"/>
          <w:szCs w:val="32"/>
        </w:rPr>
        <w:t>（1）目前餐厨垃圾处理现状</w:t>
      </w:r>
      <w:bookmarkEnd w:id="591"/>
      <w:bookmarkEnd w:id="592"/>
      <w:bookmarkEnd w:id="593"/>
      <w:bookmarkEnd w:id="594"/>
      <w:bookmarkEnd w:id="595"/>
      <w:bookmarkEnd w:id="596"/>
      <w:bookmarkEnd w:id="597"/>
      <w:bookmarkEnd w:id="598"/>
      <w:bookmarkEnd w:id="599"/>
      <w:bookmarkEnd w:id="600"/>
      <w:bookmarkEnd w:id="601"/>
      <w:bookmarkEnd w:id="602"/>
      <w:bookmarkEnd w:id="603"/>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2018年全市餐厨垃圾产量约1.1万吨，日产餐厨垃圾30吨。根据夏秋季节餐厨垃圾增多，日产餐厨垃圾增加至35吨多，目前嘉峪关市的生活垃圾主要通过垃圾压缩车运输至填埋场进行处理。2019年计划新建餐厨垃圾处理场1座，预计2019年3月开工，2019年底完成项目建设。项目建成后将新增餐厨垃圾处理能力50吨/日，基本建立城市餐厨垃圾回收利用体系。</w:t>
      </w:r>
    </w:p>
    <w:bookmarkEnd w:id="604"/>
    <w:bookmarkEnd w:id="605"/>
    <w:bookmarkEnd w:id="606"/>
    <w:bookmarkEnd w:id="607"/>
    <w:p>
      <w:pPr>
        <w:ind w:firstLine="632" w:firstLineChars="200"/>
        <w:rPr>
          <w:rFonts w:ascii="仿宋_GB2312" w:hAnsi="仿宋_GB2312" w:eastAsia="仿宋_GB2312" w:cs="仿宋_GB2312"/>
          <w:sz w:val="32"/>
          <w:szCs w:val="32"/>
        </w:rPr>
      </w:pPr>
      <w:bookmarkStart w:id="608" w:name="_Toc31348_WPSOffice_Level3"/>
      <w:bookmarkStart w:id="609" w:name="_Toc12170_WPSOffice_Level2"/>
      <w:bookmarkStart w:id="610" w:name="_Toc470185484"/>
      <w:bookmarkStart w:id="611" w:name="_Toc4284_WPSOffice_Level2"/>
      <w:bookmarkStart w:id="612" w:name="_Toc31056_WPSOffice_Level2"/>
      <w:bookmarkStart w:id="613" w:name="_Toc485037698"/>
      <w:bookmarkStart w:id="614" w:name="_Toc519897800"/>
      <w:bookmarkStart w:id="615" w:name="_Toc7270_WPSOffice_Level2"/>
      <w:bookmarkStart w:id="616" w:name="_Toc14424_WPSOffice_Level3"/>
      <w:bookmarkStart w:id="617" w:name="_Toc27733_WPSOffice_Level3"/>
      <w:bookmarkStart w:id="618" w:name="_Toc26440_WPSOffice_Level2"/>
      <w:bookmarkStart w:id="619" w:name="_Toc467668433"/>
      <w:bookmarkStart w:id="620" w:name="_Toc9014_WPSOffice_Level2"/>
      <w:bookmarkStart w:id="621" w:name="_Toc18305_WPSOffice_Level3"/>
      <w:bookmarkStart w:id="622" w:name="_Toc513626963"/>
      <w:bookmarkStart w:id="623" w:name="_Toc521881743"/>
      <w:bookmarkStart w:id="624" w:name="_Toc14145_WPSOffice_Level3"/>
      <w:r>
        <w:rPr>
          <w:rFonts w:hint="eastAsia" w:ascii="仿宋_GB2312" w:hAnsi="仿宋_GB2312" w:eastAsia="仿宋_GB2312" w:cs="仿宋_GB2312"/>
          <w:sz w:val="32"/>
          <w:szCs w:val="32"/>
        </w:rPr>
        <w:t>（2）一体化垃圾处理设备</w:t>
      </w:r>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鉴于目前嘉峪关市尚未建成餐厨垃圾处理场。现阶段可以采用餐厨垃圾处理设备，是目前行业内工艺和技术最为先进、节能和处理效果最佳的设备，采用一体化设计，模块化组合，具备动态自动计量，自动上料，自动破碎，自动脱油脱水、自动挤压输送功能、生化处理、温湿度自动控制、臭气处理废水排放收集、手动和自动控制面板。所有功能集成一体化，也可以选配各个独立模块，能够实现就地处理和消纳包括蔬菜、水果、厨余、餐厨、可腐的农业废弃物等有机物，并有效资源化。</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一体化垃圾处理设备可以设置在人流量密集的餐饮市场、大型农贸市场，如在嘉峪关大唐美食街、富强市场可以各设置一台三吨一体式餐厨垃圾处理设备。在夏秋季节餐厨垃圾明显增多，可增加处理频率，保证垃圾处理的及时性。一体化垃圾处理设备4800*3080*2225mm（占地面积14.78平方米）。</w:t>
      </w:r>
      <w:bookmarkStart w:id="625" w:name="_Toc3114_WPSOffice_Level1"/>
      <w:bookmarkStart w:id="626" w:name="_Toc15525_WPSOffice_Level1"/>
      <w:bookmarkStart w:id="627" w:name="_Toc11421_WPSOffice_Level1"/>
      <w:bookmarkStart w:id="628" w:name="_Toc521881747"/>
      <w:bookmarkStart w:id="629" w:name="_Toc519897802"/>
      <w:bookmarkStart w:id="630" w:name="_Toc15988_WPSOffice_Level1"/>
      <w:bookmarkStart w:id="631" w:name="_Toc27201_WPSOffice_Level1"/>
      <w:bookmarkStart w:id="632" w:name="_Toc23017_WPSOffice_Level1"/>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0" distR="0">
            <wp:extent cx="4330065" cy="4720590"/>
            <wp:effectExtent l="0" t="0" r="13335" b="3810"/>
            <wp:docPr id="160" name="图片 10" descr="E:\工作文件\嘉峪关市生活垃圾分类可研\一体化垃圾处理设备平面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 descr="E:\工作文件\嘉峪关市生活垃圾分类可研\一体化垃圾处理设备平面图.jpg"/>
                    <pic:cNvPicPr>
                      <a:picLocks noChangeAspect="1" noChangeArrowheads="1"/>
                    </pic:cNvPicPr>
                  </pic:nvPicPr>
                  <pic:blipFill>
                    <a:blip r:embed="rId49" cstate="print"/>
                    <a:srcRect t="11663" b="11269"/>
                    <a:stretch>
                      <a:fillRect/>
                    </a:stretch>
                  </pic:blipFill>
                  <pic:spPr>
                    <a:xfrm>
                      <a:off x="0" y="0"/>
                      <a:ext cx="4330498" cy="4720590"/>
                    </a:xfrm>
                    <a:prstGeom prst="rect">
                      <a:avLst/>
                    </a:prstGeom>
                    <a:noFill/>
                    <a:ln w="9525">
                      <a:noFill/>
                      <a:miter lim="800000"/>
                      <a:headEnd/>
                      <a:tailEnd/>
                    </a:ln>
                  </pic:spPr>
                </pic:pic>
              </a:graphicData>
            </a:graphic>
          </wp:inline>
        </w:drawing>
      </w:r>
    </w:p>
    <w:p>
      <w:pPr>
        <w:ind w:firstLine="632" w:firstLineChars="200"/>
        <w:jc w:val="center"/>
        <w:rPr>
          <w:rFonts w:ascii="仿宋_GB2312" w:hAnsi="仿宋_GB2312" w:eastAsia="仿宋_GB2312" w:cs="仿宋_GB2312"/>
          <w:sz w:val="32"/>
          <w:szCs w:val="32"/>
        </w:rPr>
      </w:pPr>
      <w:bookmarkStart w:id="633" w:name="_Toc11058_WPSOffice_Level2"/>
      <w:bookmarkStart w:id="634" w:name="_Toc9505_WPSOffice_Level2"/>
      <w:bookmarkStart w:id="635" w:name="_Toc19979_WPSOffice_Level2"/>
      <w:r>
        <w:rPr>
          <w:rFonts w:hint="eastAsia" w:ascii="仿宋_GB2312" w:hAnsi="仿宋_GB2312" w:eastAsia="仿宋_GB2312" w:cs="仿宋_GB2312"/>
          <w:sz w:val="32"/>
          <w:szCs w:val="32"/>
        </w:rPr>
        <w:t>一体化垃圾处理设备平面图</w:t>
      </w:r>
      <w:bookmarkEnd w:id="633"/>
      <w:bookmarkEnd w:id="634"/>
      <w:bookmarkEnd w:id="635"/>
    </w:p>
    <w:p>
      <w:pPr>
        <w:pStyle w:val="4"/>
        <w:spacing w:before="0" w:after="0" w:line="360" w:lineRule="auto"/>
        <w:ind w:firstLine="632" w:firstLineChars="200"/>
        <w:rPr>
          <w:rFonts w:ascii="黑体" w:hAnsi="黑体"/>
          <w:b w:val="0"/>
          <w:bCs/>
          <w:szCs w:val="32"/>
        </w:rPr>
      </w:pPr>
      <w:bookmarkStart w:id="636" w:name="_Toc32748_WPSOffice_Level2"/>
      <w:bookmarkStart w:id="637" w:name="_Toc23293_WPSOffice_Level2"/>
      <w:bookmarkStart w:id="638" w:name="_Toc30693_WPSOffice_Level3"/>
      <w:bookmarkStart w:id="639" w:name="_Toc806_WPSOffice_Level3"/>
      <w:bookmarkStart w:id="640" w:name="_Toc10100_WPSOffice_Level3"/>
      <w:bookmarkStart w:id="641" w:name="_Toc1841_WPSOffice_Level2"/>
      <w:r>
        <w:rPr>
          <w:rFonts w:hint="eastAsia" w:ascii="黑体" w:hAnsi="黑体"/>
          <w:b w:val="0"/>
          <w:bCs/>
          <w:szCs w:val="32"/>
        </w:rPr>
        <w:t>6.3.6智慧垃圾分类处理管理云平台</w:t>
      </w:r>
      <w:bookmarkEnd w:id="625"/>
      <w:bookmarkEnd w:id="626"/>
      <w:bookmarkEnd w:id="627"/>
      <w:bookmarkEnd w:id="628"/>
      <w:bookmarkEnd w:id="636"/>
      <w:bookmarkEnd w:id="637"/>
      <w:bookmarkEnd w:id="638"/>
      <w:bookmarkEnd w:id="639"/>
      <w:bookmarkEnd w:id="640"/>
      <w:bookmarkEnd w:id="641"/>
    </w:p>
    <w:bookmarkEnd w:id="629"/>
    <w:bookmarkEnd w:id="630"/>
    <w:bookmarkEnd w:id="631"/>
    <w:bookmarkEnd w:id="632"/>
    <w:p>
      <w:pPr>
        <w:spacing w:line="578" w:lineRule="exact"/>
        <w:ind w:firstLine="632" w:firstLineChars="200"/>
        <w:rPr>
          <w:rFonts w:ascii="仿宋_GB2312" w:hAnsi="仿宋_GB2312" w:eastAsia="仿宋_GB2312" w:cs="仿宋_GB2312"/>
          <w:sz w:val="32"/>
          <w:szCs w:val="32"/>
        </w:rPr>
      </w:pPr>
      <w:bookmarkStart w:id="642" w:name="_Toc1652_WPSOffice_Level3"/>
      <w:bookmarkStart w:id="643" w:name="_Toc28724_WPSOffice_Level3"/>
      <w:r>
        <w:rPr>
          <w:rFonts w:hint="eastAsia" w:ascii="仿宋_GB2312" w:hAnsi="仿宋_GB2312" w:eastAsia="仿宋_GB2312" w:cs="仿宋_GB2312"/>
          <w:sz w:val="32"/>
          <w:szCs w:val="32"/>
        </w:rPr>
        <w:t>（1）大数据助力垃圾分类</w:t>
      </w:r>
      <w:bookmarkEnd w:id="642"/>
      <w:bookmarkEnd w:id="643"/>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第一，利用大数据技术建立垃圾分类数据库。按照地区，统计辖区内的所有住户数量，进行统一规划统计，建立垃圾分类数据库。</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二，对辖区内住户每天的垃圾进行统计，建立垃圾回收明细表，记录每个家庭的可回收垃圾、厨余垃圾以及有害垃圾的量，分析垃圾的成分和数量。同时，还能实时记录和监控一个小区的户数，每个家庭每天产生多少垃圾量，垃圾数量有无增减。</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第三，通过分析统计每个辖区垃圾的成分和数量，有针对性地制定社区的垃圾分类投放和收集制度办法、途径，实现垃圾分类的合理化、智能化，提高垃圾处理能力，有力解决垃圾围城困扰。</w:t>
      </w:r>
    </w:p>
    <w:p>
      <w:pPr>
        <w:spacing w:line="578" w:lineRule="exact"/>
        <w:ind w:firstLine="632" w:firstLineChars="200"/>
        <w:rPr>
          <w:rFonts w:ascii="仿宋_GB2312" w:hAnsi="仿宋_GB2312" w:eastAsia="仿宋_GB2312" w:cs="仿宋_GB2312"/>
          <w:sz w:val="32"/>
          <w:szCs w:val="32"/>
        </w:rPr>
      </w:pPr>
      <w:bookmarkStart w:id="644" w:name="_Toc19616_WPSOffice_Level3"/>
      <w:bookmarkStart w:id="645" w:name="_Toc30238_WPSOffice_Level3"/>
      <w:r>
        <w:rPr>
          <w:rFonts w:hint="eastAsia" w:ascii="仿宋_GB2312" w:hAnsi="仿宋_GB2312" w:eastAsia="仿宋_GB2312" w:cs="仿宋_GB2312"/>
          <w:sz w:val="32"/>
          <w:szCs w:val="32"/>
        </w:rPr>
        <w:t>（2）大数据助力环卫收运</w:t>
      </w:r>
      <w:bookmarkEnd w:id="644"/>
      <w:bookmarkEnd w:id="645"/>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第一，利用垃圾产量大数据分析和预测合理安排收运路线</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第二，利用互联+物联技术，对环卫工人和环卫设备实现实时监控，可以及时分配任务、提高突发事件应急能力，大大提高管理效率，有效降低管理成本。</w:t>
      </w:r>
    </w:p>
    <w:p>
      <w:pPr>
        <w:spacing w:line="578" w:lineRule="exact"/>
        <w:ind w:firstLine="632" w:firstLineChars="200"/>
        <w:rPr>
          <w:rFonts w:ascii="仿宋_GB2312" w:hAnsi="仿宋_GB2312" w:eastAsia="仿宋_GB2312" w:cs="仿宋_GB2312"/>
          <w:sz w:val="32"/>
          <w:szCs w:val="32"/>
        </w:rPr>
      </w:pPr>
      <w:bookmarkStart w:id="646" w:name="_Toc26772_WPSOffice_Level3"/>
      <w:bookmarkStart w:id="647" w:name="_Toc1317_WPSOffice_Level3"/>
      <w:r>
        <w:rPr>
          <w:rFonts w:hint="eastAsia" w:ascii="仿宋_GB2312" w:hAnsi="仿宋_GB2312" w:eastAsia="仿宋_GB2312" w:cs="仿宋_GB2312"/>
          <w:sz w:val="32"/>
          <w:szCs w:val="32"/>
        </w:rPr>
        <w:t>（3）区块链技术应用，发行“积分兑换币”</w:t>
      </w:r>
      <w:bookmarkEnd w:id="646"/>
      <w:bookmarkEnd w:id="647"/>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利用区块链技术，建立区块链电子货币，取代垃圾分类积分，如果能够在社区、减量中心、资源回收利用公司、以及政府等各类主体之间，构建一个区块链生态圈，并发行积分兑换币，在链条各主体当中，以信息传递为基础，进而产生价值传递和信任传递，或许能够解决垃圾分类难题，率先形成垃圾治理的新模式。</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区块链技术将直接参与垃圾分类回收的各社区物业、政府监管部门等，共识存储垃圾处理全量数据，这样就能清楚知道垃圾的总量、流向等；与此同时，用户和政府职能机构按角色进入公有链，公有链作为“核心业务数据”的持久层，存储公民信用积分和积分兑换币交易流通的数据信息。</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因此打通积分兑换币兑换渠道，会使垃圾分类的积分奖励更有效率和价值。</w:t>
      </w:r>
    </w:p>
    <w:p>
      <w:pPr>
        <w:pStyle w:val="4"/>
        <w:spacing w:before="0" w:after="0" w:line="360" w:lineRule="auto"/>
        <w:ind w:firstLine="632" w:firstLineChars="200"/>
        <w:rPr>
          <w:rFonts w:ascii="黑体" w:hAnsi="黑体"/>
          <w:b w:val="0"/>
          <w:bCs/>
          <w:szCs w:val="32"/>
        </w:rPr>
      </w:pPr>
      <w:bookmarkStart w:id="648" w:name="_Toc519897815"/>
      <w:bookmarkStart w:id="649" w:name="_Toc5193_WPSOffice_Level1"/>
      <w:bookmarkStart w:id="650" w:name="_Toc1613_WPSOffice_Level3"/>
      <w:bookmarkStart w:id="651" w:name="_Toc30229_WPSOffice_Level3"/>
      <w:bookmarkStart w:id="652" w:name="_Toc21050_WPSOffice_Level2"/>
      <w:bookmarkStart w:id="653" w:name="_Toc23542_WPSOffice_Level2"/>
      <w:bookmarkStart w:id="654" w:name="_Toc25917_WPSOffice_Level1"/>
      <w:bookmarkStart w:id="655" w:name="_Toc21342_WPSOffice_Level2"/>
      <w:bookmarkStart w:id="656" w:name="_Toc17366_WPSOffice_Level3"/>
      <w:bookmarkStart w:id="657" w:name="_Toc521881754"/>
      <w:bookmarkStart w:id="658" w:name="_Toc7273_WPSOffice_Level1"/>
      <w:bookmarkStart w:id="659" w:name="_Toc18797_WPSOffice_Level1"/>
      <w:bookmarkStart w:id="660" w:name="_Toc8417_WPSOffice_Level1"/>
      <w:bookmarkStart w:id="661" w:name="_Toc12832_WPSOffice_Level1"/>
      <w:r>
        <w:rPr>
          <w:rFonts w:hint="eastAsia" w:ascii="黑体" w:hAnsi="黑体"/>
          <w:b w:val="0"/>
          <w:bCs/>
          <w:szCs w:val="32"/>
        </w:rPr>
        <w:t>5.3.7嘉峪关市生活垃圾分类运营方案</w:t>
      </w:r>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p>
    <w:p>
      <w:pPr>
        <w:ind w:firstLine="632" w:firstLineChars="200"/>
        <w:rPr>
          <w:rFonts w:ascii="仿宋_GB2312" w:hAnsi="仿宋_GB2312" w:eastAsia="仿宋_GB2312" w:cs="仿宋_GB2312"/>
          <w:sz w:val="32"/>
          <w:szCs w:val="32"/>
        </w:rPr>
      </w:pPr>
      <w:bookmarkStart w:id="662" w:name="_Toc536715818"/>
      <w:bookmarkStart w:id="663" w:name="_Toc19115_WPSOffice_Level2"/>
      <w:bookmarkStart w:id="664" w:name="_Toc21626_WPSOffice_Level2"/>
      <w:bookmarkStart w:id="665" w:name="_Toc5292_WPSOffice_Level3"/>
      <w:bookmarkStart w:id="666" w:name="_Toc521881755"/>
      <w:bookmarkStart w:id="667" w:name="_Toc27863_WPSOffice_Level2"/>
      <w:bookmarkStart w:id="668" w:name="_Toc31675_WPSOffice_Level2"/>
      <w:bookmarkStart w:id="669" w:name="_Toc20160_WPSOffice_Level3"/>
      <w:bookmarkStart w:id="670" w:name="_Toc519897816"/>
      <w:bookmarkStart w:id="671" w:name="_Toc4350_WPSOffice_Level2"/>
      <w:bookmarkStart w:id="672" w:name="_Toc23504_WPSOffice_Level2"/>
      <w:r>
        <w:rPr>
          <w:rFonts w:hint="eastAsia" w:ascii="仿宋_GB2312" w:hAnsi="仿宋_GB2312" w:eastAsia="仿宋_GB2312" w:cs="仿宋_GB2312"/>
          <w:sz w:val="32"/>
          <w:szCs w:val="32"/>
        </w:rPr>
        <w:t>（1）设备配置</w:t>
      </w:r>
      <w:bookmarkEnd w:id="662"/>
    </w:p>
    <w:p>
      <w:pPr>
        <w:ind w:firstLine="632" w:firstLineChars="200"/>
        <w:rPr>
          <w:rFonts w:ascii="仿宋_GB2312" w:hAnsi="仿宋_GB2312" w:eastAsia="仿宋_GB2312" w:cs="仿宋_GB2312"/>
          <w:sz w:val="32"/>
          <w:szCs w:val="32"/>
        </w:rPr>
      </w:pPr>
      <w:bookmarkStart w:id="673" w:name="_Toc536715819"/>
      <w:r>
        <w:rPr>
          <w:rFonts w:hint="eastAsia" w:ascii="仿宋_GB2312" w:hAnsi="仿宋_GB2312" w:eastAsia="仿宋_GB2312" w:cs="仿宋_GB2312"/>
          <w:sz w:val="32"/>
          <w:szCs w:val="32"/>
        </w:rPr>
        <w:t>1） 设备明细</w:t>
      </w:r>
      <w:bookmarkEnd w:id="673"/>
    </w:p>
    <w:tbl>
      <w:tblPr>
        <w:tblStyle w:val="16"/>
        <w:tblW w:w="8413" w:type="dxa"/>
        <w:tblInd w:w="0" w:type="dxa"/>
        <w:tblLayout w:type="fixed"/>
        <w:tblCellMar>
          <w:top w:w="0" w:type="dxa"/>
          <w:left w:w="108" w:type="dxa"/>
          <w:bottom w:w="0" w:type="dxa"/>
          <w:right w:w="108" w:type="dxa"/>
        </w:tblCellMar>
      </w:tblPr>
      <w:tblGrid>
        <w:gridCol w:w="876"/>
        <w:gridCol w:w="2719"/>
        <w:gridCol w:w="4818"/>
      </w:tblGrid>
      <w:tr>
        <w:tblPrEx>
          <w:tblCellMar>
            <w:top w:w="0" w:type="dxa"/>
            <w:left w:w="108" w:type="dxa"/>
            <w:bottom w:w="0" w:type="dxa"/>
            <w:right w:w="108" w:type="dxa"/>
          </w:tblCellMar>
        </w:tblPrEx>
        <w:trPr>
          <w:trHeight w:val="499" w:hRule="atLeast"/>
        </w:trPr>
        <w:tc>
          <w:tcPr>
            <w:tcW w:w="87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序号</w:t>
            </w:r>
          </w:p>
        </w:tc>
        <w:tc>
          <w:tcPr>
            <w:tcW w:w="2719" w:type="dxa"/>
            <w:tcBorders>
              <w:top w:val="single" w:color="auto" w:sz="4" w:space="0"/>
              <w:left w:val="nil"/>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名称</w:t>
            </w:r>
          </w:p>
        </w:tc>
        <w:tc>
          <w:tcPr>
            <w:tcW w:w="4818" w:type="dxa"/>
            <w:tcBorders>
              <w:top w:val="single" w:color="auto" w:sz="4" w:space="0"/>
              <w:left w:val="nil"/>
              <w:bottom w:val="single" w:color="auto" w:sz="4" w:space="0"/>
              <w:right w:val="single" w:color="auto" w:sz="4" w:space="0"/>
            </w:tcBorders>
            <w:shd w:val="clear" w:color="auto" w:fill="auto"/>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内容</w:t>
            </w:r>
          </w:p>
        </w:tc>
      </w:tr>
      <w:tr>
        <w:tblPrEx>
          <w:tblCellMar>
            <w:top w:w="0" w:type="dxa"/>
            <w:left w:w="108" w:type="dxa"/>
            <w:bottom w:w="0" w:type="dxa"/>
            <w:right w:w="108" w:type="dxa"/>
          </w:tblCellMar>
        </w:tblPrEx>
        <w:trPr>
          <w:trHeight w:val="499" w:hRule="atLeast"/>
        </w:trPr>
        <w:tc>
          <w:tcPr>
            <w:tcW w:w="876" w:type="dxa"/>
            <w:tcBorders>
              <w:top w:val="nil"/>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w:t>
            </w:r>
          </w:p>
        </w:tc>
        <w:tc>
          <w:tcPr>
            <w:tcW w:w="2719" w:type="dxa"/>
            <w:vMerge w:val="restart"/>
            <w:tcBorders>
              <w:top w:val="nil"/>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（一）智能设备及其它设施设备配置</w:t>
            </w:r>
          </w:p>
        </w:tc>
        <w:tc>
          <w:tcPr>
            <w:tcW w:w="4818" w:type="dxa"/>
            <w:tcBorders>
              <w:top w:val="nil"/>
              <w:left w:val="nil"/>
              <w:bottom w:val="single" w:color="auto" w:sz="4" w:space="0"/>
              <w:right w:val="single" w:color="auto" w:sz="4" w:space="0"/>
            </w:tcBorders>
            <w:shd w:val="clear" w:color="auto" w:fill="auto"/>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积分兑换发袋一体机</w:t>
            </w:r>
          </w:p>
        </w:tc>
      </w:tr>
      <w:tr>
        <w:tblPrEx>
          <w:tblCellMar>
            <w:top w:w="0" w:type="dxa"/>
            <w:left w:w="108" w:type="dxa"/>
            <w:bottom w:w="0" w:type="dxa"/>
            <w:right w:w="108" w:type="dxa"/>
          </w:tblCellMar>
        </w:tblPrEx>
        <w:trPr>
          <w:trHeight w:val="499" w:hRule="atLeast"/>
        </w:trPr>
        <w:tc>
          <w:tcPr>
            <w:tcW w:w="876" w:type="dxa"/>
            <w:tcBorders>
              <w:top w:val="nil"/>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2</w:t>
            </w:r>
          </w:p>
        </w:tc>
        <w:tc>
          <w:tcPr>
            <w:tcW w:w="2719" w:type="dxa"/>
            <w:vMerge w:val="continue"/>
            <w:tcBorders>
              <w:top w:val="nil"/>
              <w:left w:val="single" w:color="auto" w:sz="4" w:space="0"/>
              <w:bottom w:val="single" w:color="auto" w:sz="4" w:space="0"/>
              <w:right w:val="single" w:color="auto" w:sz="4" w:space="0"/>
            </w:tcBorders>
            <w:vAlign w:val="center"/>
          </w:tcPr>
          <w:p>
            <w:pPr>
              <w:ind w:firstLine="472" w:firstLineChars="200"/>
              <w:jc w:val="center"/>
              <w:rPr>
                <w:rFonts w:ascii="微软雅黑 Light" w:hAnsi="微软雅黑 Light" w:eastAsia="微软雅黑 Light" w:cs="微软雅黑 Light"/>
                <w:sz w:val="24"/>
                <w:szCs w:val="24"/>
              </w:rPr>
            </w:pPr>
          </w:p>
        </w:tc>
        <w:tc>
          <w:tcPr>
            <w:tcW w:w="4818" w:type="dxa"/>
            <w:tcBorders>
              <w:top w:val="nil"/>
              <w:left w:val="nil"/>
              <w:bottom w:val="single" w:color="auto" w:sz="4" w:space="0"/>
              <w:right w:val="single" w:color="auto" w:sz="4" w:space="0"/>
            </w:tcBorders>
            <w:shd w:val="clear" w:color="auto" w:fill="auto"/>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智能可回收箱</w:t>
            </w:r>
          </w:p>
        </w:tc>
      </w:tr>
      <w:tr>
        <w:tblPrEx>
          <w:tblCellMar>
            <w:top w:w="0" w:type="dxa"/>
            <w:left w:w="108" w:type="dxa"/>
            <w:bottom w:w="0" w:type="dxa"/>
            <w:right w:w="108" w:type="dxa"/>
          </w:tblCellMar>
        </w:tblPrEx>
        <w:trPr>
          <w:trHeight w:val="499" w:hRule="atLeast"/>
        </w:trPr>
        <w:tc>
          <w:tcPr>
            <w:tcW w:w="876" w:type="dxa"/>
            <w:tcBorders>
              <w:top w:val="nil"/>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3</w:t>
            </w:r>
          </w:p>
        </w:tc>
        <w:tc>
          <w:tcPr>
            <w:tcW w:w="2719" w:type="dxa"/>
            <w:vMerge w:val="continue"/>
            <w:tcBorders>
              <w:top w:val="nil"/>
              <w:left w:val="single" w:color="auto" w:sz="4" w:space="0"/>
              <w:bottom w:val="single" w:color="auto" w:sz="4" w:space="0"/>
              <w:right w:val="single" w:color="auto" w:sz="4" w:space="0"/>
            </w:tcBorders>
            <w:vAlign w:val="center"/>
          </w:tcPr>
          <w:p>
            <w:pPr>
              <w:ind w:firstLine="472" w:firstLineChars="200"/>
              <w:jc w:val="center"/>
              <w:rPr>
                <w:rFonts w:ascii="微软雅黑 Light" w:hAnsi="微软雅黑 Light" w:eastAsia="微软雅黑 Light" w:cs="微软雅黑 Light"/>
                <w:sz w:val="24"/>
                <w:szCs w:val="24"/>
              </w:rPr>
            </w:pPr>
          </w:p>
        </w:tc>
        <w:tc>
          <w:tcPr>
            <w:tcW w:w="4818" w:type="dxa"/>
            <w:tcBorders>
              <w:top w:val="nil"/>
              <w:left w:val="nil"/>
              <w:bottom w:val="single" w:color="auto" w:sz="4" w:space="0"/>
              <w:right w:val="single" w:color="auto" w:sz="4" w:space="0"/>
            </w:tcBorders>
            <w:shd w:val="clear" w:color="auto" w:fill="auto"/>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有毒有害回收箱</w:t>
            </w:r>
          </w:p>
        </w:tc>
      </w:tr>
      <w:tr>
        <w:tblPrEx>
          <w:tblCellMar>
            <w:top w:w="0" w:type="dxa"/>
            <w:left w:w="108" w:type="dxa"/>
            <w:bottom w:w="0" w:type="dxa"/>
            <w:right w:w="108" w:type="dxa"/>
          </w:tblCellMar>
        </w:tblPrEx>
        <w:trPr>
          <w:trHeight w:val="499" w:hRule="atLeast"/>
        </w:trPr>
        <w:tc>
          <w:tcPr>
            <w:tcW w:w="876" w:type="dxa"/>
            <w:tcBorders>
              <w:top w:val="nil"/>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4</w:t>
            </w:r>
          </w:p>
        </w:tc>
        <w:tc>
          <w:tcPr>
            <w:tcW w:w="2719" w:type="dxa"/>
            <w:vMerge w:val="continue"/>
            <w:tcBorders>
              <w:top w:val="nil"/>
              <w:left w:val="single" w:color="auto" w:sz="4" w:space="0"/>
              <w:bottom w:val="single" w:color="auto" w:sz="4" w:space="0"/>
              <w:right w:val="single" w:color="auto" w:sz="4" w:space="0"/>
            </w:tcBorders>
            <w:vAlign w:val="center"/>
          </w:tcPr>
          <w:p>
            <w:pPr>
              <w:ind w:firstLine="472" w:firstLineChars="200"/>
              <w:jc w:val="center"/>
              <w:rPr>
                <w:rFonts w:ascii="微软雅黑 Light" w:hAnsi="微软雅黑 Light" w:eastAsia="微软雅黑 Light" w:cs="微软雅黑 Light"/>
                <w:sz w:val="24"/>
                <w:szCs w:val="24"/>
              </w:rPr>
            </w:pPr>
          </w:p>
        </w:tc>
        <w:tc>
          <w:tcPr>
            <w:tcW w:w="4818" w:type="dxa"/>
            <w:tcBorders>
              <w:top w:val="nil"/>
              <w:left w:val="nil"/>
              <w:bottom w:val="single" w:color="auto" w:sz="4" w:space="0"/>
              <w:right w:val="single" w:color="auto" w:sz="4" w:space="0"/>
            </w:tcBorders>
            <w:shd w:val="clear" w:color="auto" w:fill="auto"/>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手持终端</w:t>
            </w:r>
          </w:p>
        </w:tc>
      </w:tr>
      <w:tr>
        <w:tblPrEx>
          <w:tblCellMar>
            <w:top w:w="0" w:type="dxa"/>
            <w:left w:w="108" w:type="dxa"/>
            <w:bottom w:w="0" w:type="dxa"/>
            <w:right w:w="108" w:type="dxa"/>
          </w:tblCellMar>
        </w:tblPrEx>
        <w:trPr>
          <w:trHeight w:val="499" w:hRule="atLeast"/>
        </w:trPr>
        <w:tc>
          <w:tcPr>
            <w:tcW w:w="876" w:type="dxa"/>
            <w:tcBorders>
              <w:top w:val="nil"/>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5</w:t>
            </w:r>
          </w:p>
        </w:tc>
        <w:tc>
          <w:tcPr>
            <w:tcW w:w="2719" w:type="dxa"/>
            <w:vMerge w:val="continue"/>
            <w:tcBorders>
              <w:top w:val="nil"/>
              <w:left w:val="single" w:color="auto" w:sz="4" w:space="0"/>
              <w:bottom w:val="single" w:color="auto" w:sz="4" w:space="0"/>
              <w:right w:val="single" w:color="auto" w:sz="4" w:space="0"/>
            </w:tcBorders>
            <w:vAlign w:val="center"/>
          </w:tcPr>
          <w:p>
            <w:pPr>
              <w:ind w:firstLine="472" w:firstLineChars="200"/>
              <w:jc w:val="center"/>
              <w:rPr>
                <w:rFonts w:ascii="微软雅黑 Light" w:hAnsi="微软雅黑 Light" w:eastAsia="微软雅黑 Light" w:cs="微软雅黑 Light"/>
                <w:sz w:val="24"/>
                <w:szCs w:val="24"/>
              </w:rPr>
            </w:pPr>
          </w:p>
        </w:tc>
        <w:tc>
          <w:tcPr>
            <w:tcW w:w="4818" w:type="dxa"/>
            <w:tcBorders>
              <w:top w:val="nil"/>
              <w:left w:val="nil"/>
              <w:bottom w:val="single" w:color="auto" w:sz="4" w:space="0"/>
              <w:right w:val="single" w:color="auto" w:sz="4" w:space="0"/>
            </w:tcBorders>
            <w:shd w:val="clear" w:color="auto" w:fill="auto"/>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二分类桶</w:t>
            </w:r>
          </w:p>
        </w:tc>
      </w:tr>
      <w:tr>
        <w:tblPrEx>
          <w:tblCellMar>
            <w:top w:w="0" w:type="dxa"/>
            <w:left w:w="108" w:type="dxa"/>
            <w:bottom w:w="0" w:type="dxa"/>
            <w:right w:w="108" w:type="dxa"/>
          </w:tblCellMar>
        </w:tblPrEx>
        <w:trPr>
          <w:trHeight w:val="499" w:hRule="atLeast"/>
        </w:trPr>
        <w:tc>
          <w:tcPr>
            <w:tcW w:w="876" w:type="dxa"/>
            <w:tcBorders>
              <w:top w:val="nil"/>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6</w:t>
            </w:r>
          </w:p>
        </w:tc>
        <w:tc>
          <w:tcPr>
            <w:tcW w:w="2719" w:type="dxa"/>
            <w:vMerge w:val="continue"/>
            <w:tcBorders>
              <w:top w:val="nil"/>
              <w:left w:val="single" w:color="auto" w:sz="4" w:space="0"/>
              <w:bottom w:val="single" w:color="auto" w:sz="4" w:space="0"/>
              <w:right w:val="single" w:color="auto" w:sz="4" w:space="0"/>
            </w:tcBorders>
            <w:vAlign w:val="center"/>
          </w:tcPr>
          <w:p>
            <w:pPr>
              <w:ind w:firstLine="472" w:firstLineChars="200"/>
              <w:jc w:val="center"/>
              <w:rPr>
                <w:rFonts w:ascii="微软雅黑 Light" w:hAnsi="微软雅黑 Light" w:eastAsia="微软雅黑 Light" w:cs="微软雅黑 Light"/>
                <w:sz w:val="24"/>
                <w:szCs w:val="24"/>
              </w:rPr>
            </w:pPr>
          </w:p>
        </w:tc>
        <w:tc>
          <w:tcPr>
            <w:tcW w:w="4818" w:type="dxa"/>
            <w:tcBorders>
              <w:top w:val="nil"/>
              <w:left w:val="nil"/>
              <w:bottom w:val="single" w:color="auto" w:sz="4" w:space="0"/>
              <w:right w:val="single" w:color="auto" w:sz="4" w:space="0"/>
            </w:tcBorders>
            <w:shd w:val="clear" w:color="auto" w:fill="auto"/>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智能卡</w:t>
            </w:r>
          </w:p>
        </w:tc>
      </w:tr>
      <w:tr>
        <w:tblPrEx>
          <w:tblCellMar>
            <w:top w:w="0" w:type="dxa"/>
            <w:left w:w="108" w:type="dxa"/>
            <w:bottom w:w="0" w:type="dxa"/>
            <w:right w:w="108" w:type="dxa"/>
          </w:tblCellMar>
        </w:tblPrEx>
        <w:trPr>
          <w:trHeight w:val="499" w:hRule="atLeast"/>
        </w:trPr>
        <w:tc>
          <w:tcPr>
            <w:tcW w:w="876" w:type="dxa"/>
            <w:tcBorders>
              <w:top w:val="nil"/>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7</w:t>
            </w:r>
          </w:p>
        </w:tc>
        <w:tc>
          <w:tcPr>
            <w:tcW w:w="2719" w:type="dxa"/>
            <w:vMerge w:val="continue"/>
            <w:tcBorders>
              <w:top w:val="nil"/>
              <w:left w:val="single" w:color="auto" w:sz="4" w:space="0"/>
              <w:bottom w:val="single" w:color="auto" w:sz="4" w:space="0"/>
              <w:right w:val="single" w:color="auto" w:sz="4" w:space="0"/>
            </w:tcBorders>
            <w:vAlign w:val="center"/>
          </w:tcPr>
          <w:p>
            <w:pPr>
              <w:ind w:firstLine="472" w:firstLineChars="200"/>
              <w:jc w:val="center"/>
              <w:rPr>
                <w:rFonts w:ascii="微软雅黑 Light" w:hAnsi="微软雅黑 Light" w:eastAsia="微软雅黑 Light" w:cs="微软雅黑 Light"/>
                <w:sz w:val="24"/>
                <w:szCs w:val="24"/>
              </w:rPr>
            </w:pPr>
          </w:p>
        </w:tc>
        <w:tc>
          <w:tcPr>
            <w:tcW w:w="4818" w:type="dxa"/>
            <w:tcBorders>
              <w:top w:val="nil"/>
              <w:left w:val="nil"/>
              <w:bottom w:val="single" w:color="auto" w:sz="4" w:space="0"/>
              <w:right w:val="single" w:color="auto" w:sz="4" w:space="0"/>
            </w:tcBorders>
            <w:shd w:val="clear" w:color="auto" w:fill="auto"/>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设备配套雨棚</w:t>
            </w:r>
          </w:p>
        </w:tc>
      </w:tr>
      <w:tr>
        <w:tblPrEx>
          <w:tblCellMar>
            <w:top w:w="0" w:type="dxa"/>
            <w:left w:w="108" w:type="dxa"/>
            <w:bottom w:w="0" w:type="dxa"/>
            <w:right w:w="108" w:type="dxa"/>
          </w:tblCellMar>
        </w:tblPrEx>
        <w:trPr>
          <w:trHeight w:val="499" w:hRule="atLeast"/>
        </w:trPr>
        <w:tc>
          <w:tcPr>
            <w:tcW w:w="876" w:type="dxa"/>
            <w:tcBorders>
              <w:top w:val="nil"/>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8</w:t>
            </w:r>
          </w:p>
        </w:tc>
        <w:tc>
          <w:tcPr>
            <w:tcW w:w="2719" w:type="dxa"/>
            <w:vMerge w:val="continue"/>
            <w:tcBorders>
              <w:top w:val="nil"/>
              <w:left w:val="single" w:color="auto" w:sz="4" w:space="0"/>
              <w:bottom w:val="single" w:color="auto" w:sz="4" w:space="0"/>
              <w:right w:val="single" w:color="auto" w:sz="4" w:space="0"/>
            </w:tcBorders>
            <w:vAlign w:val="center"/>
          </w:tcPr>
          <w:p>
            <w:pPr>
              <w:ind w:firstLine="472" w:firstLineChars="200"/>
              <w:jc w:val="center"/>
              <w:rPr>
                <w:rFonts w:ascii="微软雅黑 Light" w:hAnsi="微软雅黑 Light" w:eastAsia="微软雅黑 Light" w:cs="微软雅黑 Light"/>
                <w:sz w:val="24"/>
                <w:szCs w:val="24"/>
              </w:rPr>
            </w:pPr>
          </w:p>
        </w:tc>
        <w:tc>
          <w:tcPr>
            <w:tcW w:w="4818" w:type="dxa"/>
            <w:tcBorders>
              <w:top w:val="nil"/>
              <w:left w:val="nil"/>
              <w:bottom w:val="single" w:color="auto" w:sz="4" w:space="0"/>
              <w:right w:val="single" w:color="auto" w:sz="4" w:space="0"/>
            </w:tcBorders>
            <w:shd w:val="clear" w:color="auto" w:fill="auto"/>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智能设备场地硬化</w:t>
            </w:r>
          </w:p>
        </w:tc>
      </w:tr>
      <w:tr>
        <w:tblPrEx>
          <w:tblCellMar>
            <w:top w:w="0" w:type="dxa"/>
            <w:left w:w="108" w:type="dxa"/>
            <w:bottom w:w="0" w:type="dxa"/>
            <w:right w:w="108" w:type="dxa"/>
          </w:tblCellMar>
        </w:tblPrEx>
        <w:trPr>
          <w:trHeight w:val="499" w:hRule="atLeast"/>
        </w:trPr>
        <w:tc>
          <w:tcPr>
            <w:tcW w:w="876" w:type="dxa"/>
            <w:tcBorders>
              <w:top w:val="nil"/>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9</w:t>
            </w:r>
          </w:p>
        </w:tc>
        <w:tc>
          <w:tcPr>
            <w:tcW w:w="2719" w:type="dxa"/>
            <w:vMerge w:val="continue"/>
            <w:tcBorders>
              <w:top w:val="nil"/>
              <w:left w:val="single" w:color="auto" w:sz="4" w:space="0"/>
              <w:bottom w:val="single" w:color="auto" w:sz="4" w:space="0"/>
              <w:right w:val="single" w:color="auto" w:sz="4" w:space="0"/>
            </w:tcBorders>
            <w:vAlign w:val="center"/>
          </w:tcPr>
          <w:p>
            <w:pPr>
              <w:ind w:firstLine="472" w:firstLineChars="200"/>
              <w:jc w:val="center"/>
              <w:rPr>
                <w:rFonts w:ascii="微软雅黑 Light" w:hAnsi="微软雅黑 Light" w:eastAsia="微软雅黑 Light" w:cs="微软雅黑 Light"/>
                <w:sz w:val="24"/>
                <w:szCs w:val="24"/>
              </w:rPr>
            </w:pPr>
          </w:p>
        </w:tc>
        <w:tc>
          <w:tcPr>
            <w:tcW w:w="4818" w:type="dxa"/>
            <w:tcBorders>
              <w:top w:val="nil"/>
              <w:left w:val="nil"/>
              <w:bottom w:val="single" w:color="auto" w:sz="4" w:space="0"/>
              <w:right w:val="single" w:color="auto" w:sz="4" w:space="0"/>
            </w:tcBorders>
            <w:shd w:val="clear" w:color="auto" w:fill="auto"/>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电线、线管</w:t>
            </w:r>
          </w:p>
        </w:tc>
      </w:tr>
      <w:tr>
        <w:tblPrEx>
          <w:tblCellMar>
            <w:top w:w="0" w:type="dxa"/>
            <w:left w:w="108" w:type="dxa"/>
            <w:bottom w:w="0" w:type="dxa"/>
            <w:right w:w="108" w:type="dxa"/>
          </w:tblCellMar>
        </w:tblPrEx>
        <w:trPr>
          <w:trHeight w:val="499" w:hRule="atLeast"/>
        </w:trPr>
        <w:tc>
          <w:tcPr>
            <w:tcW w:w="876" w:type="dxa"/>
            <w:tcBorders>
              <w:top w:val="nil"/>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10</w:t>
            </w:r>
          </w:p>
        </w:tc>
        <w:tc>
          <w:tcPr>
            <w:tcW w:w="2719" w:type="dxa"/>
            <w:vMerge w:val="continue"/>
            <w:tcBorders>
              <w:top w:val="nil"/>
              <w:left w:val="single" w:color="auto" w:sz="4" w:space="0"/>
              <w:bottom w:val="single" w:color="auto" w:sz="4" w:space="0"/>
              <w:right w:val="single" w:color="auto" w:sz="4" w:space="0"/>
            </w:tcBorders>
            <w:vAlign w:val="center"/>
          </w:tcPr>
          <w:p>
            <w:pPr>
              <w:ind w:firstLine="472" w:firstLineChars="200"/>
              <w:jc w:val="center"/>
              <w:rPr>
                <w:rFonts w:ascii="微软雅黑 Light" w:hAnsi="微软雅黑 Light" w:eastAsia="微软雅黑 Light" w:cs="微软雅黑 Light"/>
                <w:sz w:val="24"/>
                <w:szCs w:val="24"/>
              </w:rPr>
            </w:pPr>
          </w:p>
        </w:tc>
        <w:tc>
          <w:tcPr>
            <w:tcW w:w="4818" w:type="dxa"/>
            <w:tcBorders>
              <w:top w:val="nil"/>
              <w:left w:val="nil"/>
              <w:bottom w:val="single" w:color="auto" w:sz="4" w:space="0"/>
              <w:right w:val="single" w:color="auto" w:sz="4" w:space="0"/>
            </w:tcBorders>
            <w:shd w:val="clear" w:color="auto" w:fill="auto"/>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设备运输</w:t>
            </w:r>
          </w:p>
        </w:tc>
      </w:tr>
      <w:tr>
        <w:tblPrEx>
          <w:tblCellMar>
            <w:top w:w="0" w:type="dxa"/>
            <w:left w:w="108" w:type="dxa"/>
            <w:bottom w:w="0" w:type="dxa"/>
            <w:right w:w="108" w:type="dxa"/>
          </w:tblCellMar>
        </w:tblPrEx>
        <w:trPr>
          <w:trHeight w:val="499" w:hRule="atLeast"/>
        </w:trPr>
        <w:tc>
          <w:tcPr>
            <w:tcW w:w="876" w:type="dxa"/>
            <w:tcBorders>
              <w:top w:val="nil"/>
              <w:left w:val="single" w:color="auto" w:sz="4" w:space="0"/>
              <w:bottom w:val="single" w:color="auto" w:sz="4" w:space="0"/>
              <w:right w:val="single" w:color="auto" w:sz="4" w:space="0"/>
            </w:tcBorders>
            <w:shd w:val="clear" w:color="auto" w:fill="auto"/>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11</w:t>
            </w:r>
          </w:p>
        </w:tc>
        <w:tc>
          <w:tcPr>
            <w:tcW w:w="2719" w:type="dxa"/>
            <w:vMerge w:val="continue"/>
            <w:tcBorders>
              <w:top w:val="nil"/>
              <w:left w:val="single" w:color="auto" w:sz="4" w:space="0"/>
              <w:bottom w:val="single" w:color="auto" w:sz="4" w:space="0"/>
              <w:right w:val="single" w:color="auto" w:sz="4" w:space="0"/>
            </w:tcBorders>
            <w:vAlign w:val="center"/>
          </w:tcPr>
          <w:p>
            <w:pPr>
              <w:ind w:firstLine="472" w:firstLineChars="200"/>
              <w:jc w:val="center"/>
              <w:rPr>
                <w:rFonts w:ascii="微软雅黑 Light" w:hAnsi="微软雅黑 Light" w:eastAsia="微软雅黑 Light" w:cs="微软雅黑 Light"/>
                <w:sz w:val="24"/>
                <w:szCs w:val="24"/>
              </w:rPr>
            </w:pPr>
          </w:p>
        </w:tc>
        <w:tc>
          <w:tcPr>
            <w:tcW w:w="4818" w:type="dxa"/>
            <w:tcBorders>
              <w:top w:val="nil"/>
              <w:left w:val="nil"/>
              <w:bottom w:val="single" w:color="auto" w:sz="4" w:space="0"/>
              <w:right w:val="single" w:color="auto" w:sz="4" w:space="0"/>
            </w:tcBorders>
            <w:shd w:val="clear" w:color="auto" w:fill="auto"/>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设备安装调试</w:t>
            </w:r>
          </w:p>
        </w:tc>
      </w:tr>
    </w:tbl>
    <w:p>
      <w:pPr>
        <w:ind w:firstLine="632" w:firstLineChars="200"/>
        <w:rPr>
          <w:rFonts w:ascii="仿宋_GB2312" w:hAnsi="仿宋_GB2312" w:eastAsia="仿宋_GB2312" w:cs="仿宋_GB2312"/>
          <w:sz w:val="32"/>
          <w:szCs w:val="32"/>
        </w:rPr>
      </w:pPr>
      <w:bookmarkStart w:id="674" w:name="_Toc536715820"/>
    </w:p>
    <w:p>
      <w:pPr>
        <w:ind w:firstLine="632" w:firstLineChars="200"/>
        <w:rPr>
          <w:rFonts w:ascii="仿宋_GB2312" w:hAnsi="仿宋_GB2312" w:eastAsia="仿宋_GB2312" w:cs="仿宋_GB2312"/>
          <w:sz w:val="32"/>
          <w:szCs w:val="32"/>
        </w:rPr>
      </w:pP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2）设备介绍</w:t>
      </w:r>
      <w:bookmarkEnd w:id="674"/>
    </w:p>
    <w:tbl>
      <w:tblPr>
        <w:tblStyle w:val="16"/>
        <w:tblW w:w="9351" w:type="dxa"/>
        <w:tblInd w:w="0" w:type="dxa"/>
        <w:tblLayout w:type="fixed"/>
        <w:tblCellMar>
          <w:top w:w="15" w:type="dxa"/>
          <w:left w:w="15" w:type="dxa"/>
          <w:bottom w:w="15" w:type="dxa"/>
          <w:right w:w="15" w:type="dxa"/>
        </w:tblCellMar>
      </w:tblPr>
      <w:tblGrid>
        <w:gridCol w:w="527"/>
        <w:gridCol w:w="1339"/>
        <w:gridCol w:w="3848"/>
        <w:gridCol w:w="3637"/>
      </w:tblGrid>
      <w:tr>
        <w:tblPrEx>
          <w:tblCellMar>
            <w:top w:w="15" w:type="dxa"/>
            <w:left w:w="15" w:type="dxa"/>
            <w:bottom w:w="15" w:type="dxa"/>
            <w:right w:w="15" w:type="dxa"/>
          </w:tblCellMar>
        </w:tblPrEx>
        <w:trPr>
          <w:trHeight w:val="481"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序号</w:t>
            </w:r>
            <w:r>
              <w:rPr>
                <w:rFonts w:hint="eastAsia" w:ascii="微软雅黑 Light" w:hAnsi="微软雅黑 Light" w:eastAsia="微软雅黑 Light" w:cs="微软雅黑 Light"/>
                <w:sz w:val="24"/>
                <w:szCs w:val="24"/>
              </w:rPr>
              <w:br w:type="page"/>
            </w:r>
          </w:p>
        </w:tc>
        <w:tc>
          <w:tcPr>
            <w:tcW w:w="1339"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类别</w:t>
            </w:r>
          </w:p>
        </w:tc>
        <w:tc>
          <w:tcPr>
            <w:tcW w:w="3848"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相关图片</w:t>
            </w:r>
          </w:p>
        </w:tc>
        <w:tc>
          <w:tcPr>
            <w:tcW w:w="363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具体服务内容</w:t>
            </w:r>
          </w:p>
        </w:tc>
      </w:tr>
      <w:tr>
        <w:tblPrEx>
          <w:tblCellMar>
            <w:top w:w="15" w:type="dxa"/>
            <w:left w:w="15" w:type="dxa"/>
            <w:bottom w:w="15" w:type="dxa"/>
            <w:right w:w="15" w:type="dxa"/>
          </w:tblCellMar>
        </w:tblPrEx>
        <w:trPr>
          <w:trHeight w:val="481"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w:t>
            </w:r>
          </w:p>
        </w:tc>
        <w:tc>
          <w:tcPr>
            <w:tcW w:w="1339"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垃圾袋发放兑换一体机</w:t>
            </w:r>
          </w:p>
        </w:tc>
        <w:tc>
          <w:tcPr>
            <w:tcW w:w="3848"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0" distR="0">
                  <wp:extent cx="2000885" cy="2636520"/>
                  <wp:effectExtent l="0" t="0" r="0" b="0"/>
                  <wp:docPr id="64" name="图片 64" descr="699388028813116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69938802881311686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038353" cy="2686003"/>
                          </a:xfrm>
                          <a:prstGeom prst="rect">
                            <a:avLst/>
                          </a:prstGeom>
                          <a:noFill/>
                          <a:ln>
                            <a:noFill/>
                          </a:ln>
                        </pic:spPr>
                      </pic:pic>
                    </a:graphicData>
                  </a:graphic>
                </wp:inline>
              </w:drawing>
            </w:r>
          </w:p>
        </w:tc>
        <w:tc>
          <w:tcPr>
            <w:tcW w:w="3637" w:type="dxa"/>
            <w:tcBorders>
              <w:top w:val="single" w:color="000000" w:sz="4" w:space="0"/>
              <w:left w:val="single" w:color="000000" w:sz="4" w:space="0"/>
              <w:bottom w:val="single" w:color="000000" w:sz="4" w:space="0"/>
              <w:right w:val="single" w:color="000000" w:sz="4" w:space="0"/>
            </w:tcBorders>
          </w:tcPr>
          <w:p>
            <w:pPr>
              <w:spacing w:line="360" w:lineRule="exac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1.通过智能二维码卡扫描领取垃圾袋，全天候自助发放</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2.智能化二维码垃圾袋编码自动采集登记</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3.智能设备垃圾袋领用、消耗自动化管理</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 xml:space="preserve">4.设备显示屏：各类垃圾分类视频播放宣传       </w:t>
            </w:r>
          </w:p>
          <w:p>
            <w:pPr>
              <w:spacing w:line="360" w:lineRule="exac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 xml:space="preserve">5.能在一体机上实现积分自主兑换                </w:t>
            </w:r>
          </w:p>
          <w:p>
            <w:pPr>
              <w:spacing w:line="360" w:lineRule="exac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6.垃圾袋发放兑换一体机的数据实时上传至大数据云平台</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7.有效控制垃圾袋发放，高度宣传政府形象</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8.提升居民分类意识</w:t>
            </w:r>
          </w:p>
        </w:tc>
      </w:tr>
      <w:tr>
        <w:tblPrEx>
          <w:tblCellMar>
            <w:top w:w="15" w:type="dxa"/>
            <w:left w:w="15" w:type="dxa"/>
            <w:bottom w:w="15" w:type="dxa"/>
            <w:right w:w="15" w:type="dxa"/>
          </w:tblCellMar>
        </w:tblPrEx>
        <w:trPr>
          <w:trHeight w:val="481"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2</w:t>
            </w:r>
          </w:p>
        </w:tc>
        <w:tc>
          <w:tcPr>
            <w:tcW w:w="1339"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智能可回收箱</w:t>
            </w:r>
          </w:p>
        </w:tc>
        <w:tc>
          <w:tcPr>
            <w:tcW w:w="3848"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2148840" cy="1105535"/>
                  <wp:effectExtent l="0" t="0" r="3810" b="18415"/>
                  <wp:wrapSquare wrapText="bothSides"/>
                  <wp:docPr id="26" name="图片 26" descr="C:\Users\ADMINI~1\AppData\Local\Temp\15445944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I~1\AppData\Local\Temp\1544594406(1).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148840" cy="1105535"/>
                          </a:xfrm>
                          <a:prstGeom prst="rect">
                            <a:avLst/>
                          </a:prstGeom>
                          <a:noFill/>
                          <a:ln>
                            <a:noFill/>
                          </a:ln>
                        </pic:spPr>
                      </pic:pic>
                    </a:graphicData>
                  </a:graphic>
                </wp:anchor>
              </w:drawing>
            </w:r>
          </w:p>
        </w:tc>
        <w:tc>
          <w:tcPr>
            <w:tcW w:w="3637" w:type="dxa"/>
            <w:tcBorders>
              <w:top w:val="single" w:color="000000" w:sz="4" w:space="0"/>
              <w:left w:val="single" w:color="000000" w:sz="4" w:space="0"/>
              <w:bottom w:val="single" w:color="000000" w:sz="4" w:space="0"/>
              <w:right w:val="single" w:color="000000" w:sz="4" w:space="0"/>
            </w:tcBorders>
            <w:vAlign w:val="center"/>
          </w:tcPr>
          <w:p>
            <w:pPr>
              <w:spacing w:line="360" w:lineRule="exac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1.通过刷二维码卡，可回收垃圾投放人机对话，语音自动提示、引导用户正确地进行可回收垃圾投放</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2.自动检测垃圾桶的工作状态，实现满溢后台报警功能</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3.自动统计可回收垃圾投放的信息</w:t>
            </w:r>
          </w:p>
          <w:p>
            <w:pPr>
              <w:spacing w:line="360" w:lineRule="exac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 xml:space="preserve">4.投放的可回收垃圾重量自动转化成积分录入到用户的二维码卡                                    </w:t>
            </w:r>
          </w:p>
          <w:p>
            <w:pPr>
              <w:spacing w:line="360" w:lineRule="exac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5.减少垃圾处理率，垃圾变废为宝</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6. 资源回收，增加垃圾回收效益</w:t>
            </w:r>
          </w:p>
        </w:tc>
      </w:tr>
      <w:tr>
        <w:tblPrEx>
          <w:tblCellMar>
            <w:top w:w="15" w:type="dxa"/>
            <w:left w:w="15" w:type="dxa"/>
            <w:bottom w:w="15" w:type="dxa"/>
            <w:right w:w="15" w:type="dxa"/>
          </w:tblCellMar>
        </w:tblPrEx>
        <w:trPr>
          <w:trHeight w:val="481"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3</w:t>
            </w:r>
          </w:p>
        </w:tc>
        <w:tc>
          <w:tcPr>
            <w:tcW w:w="1339"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智能分类箱（全智能小区使用）</w:t>
            </w:r>
          </w:p>
        </w:tc>
        <w:tc>
          <w:tcPr>
            <w:tcW w:w="3848"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0" distR="0">
                  <wp:extent cx="1414145" cy="1581150"/>
                  <wp:effectExtent l="0" t="0" r="1460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23414" cy="1591287"/>
                          </a:xfrm>
                          <a:prstGeom prst="rect">
                            <a:avLst/>
                          </a:prstGeom>
                        </pic:spPr>
                      </pic:pic>
                    </a:graphicData>
                  </a:graphic>
                </wp:inline>
              </w:drawing>
            </w:r>
          </w:p>
        </w:tc>
        <w:tc>
          <w:tcPr>
            <w:tcW w:w="3637" w:type="dxa"/>
            <w:tcBorders>
              <w:top w:val="single" w:color="000000" w:sz="4" w:space="0"/>
              <w:left w:val="single" w:color="000000" w:sz="4" w:space="0"/>
              <w:bottom w:val="single" w:color="000000" w:sz="4" w:space="0"/>
              <w:right w:val="single" w:color="000000" w:sz="4" w:space="0"/>
            </w:tcBorders>
            <w:vAlign w:val="center"/>
          </w:tcPr>
          <w:p>
            <w:pPr>
              <w:spacing w:line="360" w:lineRule="exac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1.通过扫描二维码卡或者垃圾袋上的二维码打开垃圾箱门，实现分类投放</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2.可订制化服务，提供多种功能</w:t>
            </w:r>
          </w:p>
          <w:p>
            <w:pPr>
              <w:spacing w:line="360" w:lineRule="exac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 xml:space="preserve">3.改善居民环境，减少病毒传播，提升居民垃圾分类意识，全自动，高科技，防夹手功能                            </w:t>
            </w:r>
          </w:p>
          <w:p>
            <w:pPr>
              <w:spacing w:line="360" w:lineRule="exac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 xml:space="preserve">4.自动状态检测，箱体满溢功能告警、垃圾分类投放数据传输并同步到云平台                                                                 </w:t>
            </w:r>
          </w:p>
        </w:tc>
      </w:tr>
      <w:tr>
        <w:tblPrEx>
          <w:tblCellMar>
            <w:top w:w="15" w:type="dxa"/>
            <w:left w:w="15" w:type="dxa"/>
            <w:bottom w:w="15" w:type="dxa"/>
            <w:right w:w="15" w:type="dxa"/>
          </w:tblCellMar>
        </w:tblPrEx>
        <w:trPr>
          <w:trHeight w:val="481"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spacing w:line="360" w:lineRule="exact"/>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4</w:t>
            </w:r>
          </w:p>
        </w:tc>
        <w:tc>
          <w:tcPr>
            <w:tcW w:w="1339" w:type="dxa"/>
            <w:tcBorders>
              <w:top w:val="single" w:color="000000" w:sz="4" w:space="0"/>
              <w:left w:val="single" w:color="000000" w:sz="4" w:space="0"/>
              <w:bottom w:val="single" w:color="000000" w:sz="4" w:space="0"/>
              <w:right w:val="single" w:color="000000" w:sz="4" w:space="0"/>
            </w:tcBorders>
            <w:vAlign w:val="center"/>
          </w:tcPr>
          <w:p>
            <w:pPr>
              <w:spacing w:line="360" w:lineRule="exac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两分类垃圾桶（半智能小区使用）</w:t>
            </w:r>
          </w:p>
        </w:tc>
        <w:tc>
          <w:tcPr>
            <w:tcW w:w="3848"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114300" distR="114300">
                  <wp:extent cx="1786255" cy="1207770"/>
                  <wp:effectExtent l="0" t="0" r="4445" b="1143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3" cstate="print"/>
                          <a:stretch>
                            <a:fillRect/>
                          </a:stretch>
                        </pic:blipFill>
                        <pic:spPr>
                          <a:xfrm>
                            <a:off x="0" y="0"/>
                            <a:ext cx="1809265" cy="1223597"/>
                          </a:xfrm>
                          <a:prstGeom prst="rect">
                            <a:avLst/>
                          </a:prstGeom>
                          <a:noFill/>
                          <a:ln w="9525">
                            <a:noFill/>
                          </a:ln>
                        </pic:spPr>
                      </pic:pic>
                    </a:graphicData>
                  </a:graphic>
                </wp:inline>
              </w:drawing>
            </w:r>
          </w:p>
        </w:tc>
        <w:tc>
          <w:tcPr>
            <w:tcW w:w="3637" w:type="dxa"/>
            <w:tcBorders>
              <w:top w:val="single" w:color="000000" w:sz="4" w:space="0"/>
              <w:left w:val="single" w:color="000000" w:sz="4" w:space="0"/>
              <w:bottom w:val="single" w:color="000000" w:sz="4" w:space="0"/>
              <w:right w:val="single" w:color="000000" w:sz="4" w:space="0"/>
            </w:tcBorders>
          </w:tcPr>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居民按厨余垃圾、其它垃圾进行分类投放，垃圾桶上有分类标志，不同的垃圾投放到不同的垃圾桶中，垃圾桶带盖能有效防止臭味与蚊蝇。</w:t>
            </w:r>
          </w:p>
        </w:tc>
      </w:tr>
      <w:tr>
        <w:tblPrEx>
          <w:tblCellMar>
            <w:top w:w="15" w:type="dxa"/>
            <w:left w:w="15" w:type="dxa"/>
            <w:bottom w:w="15" w:type="dxa"/>
            <w:right w:w="15" w:type="dxa"/>
          </w:tblCellMar>
        </w:tblPrEx>
        <w:trPr>
          <w:trHeight w:val="481"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5</w:t>
            </w:r>
          </w:p>
        </w:tc>
        <w:tc>
          <w:tcPr>
            <w:tcW w:w="1339"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有毒有害箱体</w:t>
            </w:r>
          </w:p>
        </w:tc>
        <w:tc>
          <w:tcPr>
            <w:tcW w:w="3848"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114300" distR="114300">
                  <wp:extent cx="1095375" cy="1724025"/>
                  <wp:effectExtent l="0" t="0" r="9525" b="952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54" cstate="print"/>
                          <a:stretch>
                            <a:fillRect/>
                          </a:stretch>
                        </pic:blipFill>
                        <pic:spPr>
                          <a:xfrm>
                            <a:off x="0" y="0"/>
                            <a:ext cx="1108827" cy="1745292"/>
                          </a:xfrm>
                          <a:prstGeom prst="rect">
                            <a:avLst/>
                          </a:prstGeom>
                          <a:noFill/>
                          <a:ln w="9525">
                            <a:noFill/>
                          </a:ln>
                        </pic:spPr>
                      </pic:pic>
                    </a:graphicData>
                  </a:graphic>
                </wp:inline>
              </w:drawing>
            </w:r>
          </w:p>
        </w:tc>
        <w:tc>
          <w:tcPr>
            <w:tcW w:w="3637"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1.废旧电池、温度计、灯泡灯管、油漆、杀虫剂等分别投递在箱中不同位置</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2.对有毒有害垃圾进行特定回收，防止环境破坏</w:t>
            </w:r>
          </w:p>
        </w:tc>
      </w:tr>
      <w:tr>
        <w:tblPrEx>
          <w:tblCellMar>
            <w:top w:w="15" w:type="dxa"/>
            <w:left w:w="15" w:type="dxa"/>
            <w:bottom w:w="15" w:type="dxa"/>
            <w:right w:w="15" w:type="dxa"/>
          </w:tblCellMar>
        </w:tblPrEx>
        <w:trPr>
          <w:trHeight w:val="481"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6</w:t>
            </w:r>
          </w:p>
        </w:tc>
        <w:tc>
          <w:tcPr>
            <w:tcW w:w="1339"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智能电子秤</w:t>
            </w:r>
          </w:p>
        </w:tc>
        <w:tc>
          <w:tcPr>
            <w:tcW w:w="3848"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114300" distR="114300">
                  <wp:extent cx="1386840" cy="1614170"/>
                  <wp:effectExtent l="0" t="0" r="3810" b="5080"/>
                  <wp:docPr id="40" name="图片 40" descr="智能称重设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智能称重设备"/>
                          <pic:cNvPicPr>
                            <a:picLocks noChangeAspect="1"/>
                          </pic:cNvPicPr>
                        </pic:nvPicPr>
                        <pic:blipFill>
                          <a:blip r:embed="rId55" cstate="print"/>
                          <a:srcRect l="5882" t="2219" r="10923" b="2773"/>
                          <a:stretch>
                            <a:fillRect/>
                          </a:stretch>
                        </pic:blipFill>
                        <pic:spPr>
                          <a:xfrm>
                            <a:off x="0" y="0"/>
                            <a:ext cx="1390167" cy="1617690"/>
                          </a:xfrm>
                          <a:prstGeom prst="rect">
                            <a:avLst/>
                          </a:prstGeom>
                        </pic:spPr>
                      </pic:pic>
                    </a:graphicData>
                  </a:graphic>
                </wp:inline>
              </w:drawing>
            </w:r>
          </w:p>
        </w:tc>
        <w:tc>
          <w:tcPr>
            <w:tcW w:w="3637"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用以称重以及积分计算，由相应的回收人员负责携带，亦可投放于各小区或者分类垃圾暂存点等处；</w:t>
            </w:r>
          </w:p>
          <w:p>
            <w:pPr>
              <w:jc w:val="center"/>
              <w:rPr>
                <w:rFonts w:ascii="微软雅黑 Light" w:hAnsi="微软雅黑 Light" w:eastAsia="微软雅黑 Light" w:cs="微软雅黑 Light"/>
                <w:sz w:val="24"/>
                <w:szCs w:val="24"/>
              </w:rPr>
            </w:pPr>
          </w:p>
        </w:tc>
      </w:tr>
      <w:tr>
        <w:tblPrEx>
          <w:tblCellMar>
            <w:top w:w="15" w:type="dxa"/>
            <w:left w:w="15" w:type="dxa"/>
            <w:bottom w:w="15" w:type="dxa"/>
            <w:right w:w="15" w:type="dxa"/>
          </w:tblCellMar>
        </w:tblPrEx>
        <w:trPr>
          <w:trHeight w:val="481"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7</w:t>
            </w:r>
          </w:p>
        </w:tc>
        <w:tc>
          <w:tcPr>
            <w:tcW w:w="1339"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巡检手持终端</w:t>
            </w:r>
          </w:p>
        </w:tc>
        <w:tc>
          <w:tcPr>
            <w:tcW w:w="3848"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114300" distR="114300">
                  <wp:extent cx="944880" cy="1722120"/>
                  <wp:effectExtent l="109220" t="51435" r="321310" b="318135"/>
                  <wp:docPr id="30" name="图片 18" descr="IMG_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 descr="IMG_6404"/>
                          <pic:cNvPicPr>
                            <a:picLocks noChangeAspect="1"/>
                          </pic:cNvPicPr>
                        </pic:nvPicPr>
                        <pic:blipFill>
                          <a:blip r:embed="rId56" cstate="print"/>
                          <a:srcRect l="23274" t="9912" r="27087" b="13490"/>
                          <a:stretch>
                            <a:fillRect/>
                          </a:stretch>
                        </pic:blipFill>
                        <pic:spPr>
                          <a:xfrm rot="16200000">
                            <a:off x="0" y="0"/>
                            <a:ext cx="953108" cy="1737689"/>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3637" w:type="dxa"/>
            <w:tcBorders>
              <w:top w:val="single" w:color="000000" w:sz="4" w:space="0"/>
              <w:left w:val="single" w:color="000000" w:sz="4" w:space="0"/>
              <w:bottom w:val="single" w:color="000000" w:sz="4" w:space="0"/>
              <w:right w:val="single" w:color="000000" w:sz="4" w:space="0"/>
            </w:tcBorders>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用以垃圾袋发放机上袋，居民分类垃圾投放巡检打分等，由巡检督导人员随身携带；</w:t>
            </w:r>
          </w:p>
        </w:tc>
      </w:tr>
      <w:tr>
        <w:tblPrEx>
          <w:tblCellMar>
            <w:top w:w="15" w:type="dxa"/>
            <w:left w:w="15" w:type="dxa"/>
            <w:bottom w:w="15" w:type="dxa"/>
            <w:right w:w="15" w:type="dxa"/>
          </w:tblCellMar>
        </w:tblPrEx>
        <w:trPr>
          <w:trHeight w:val="481"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8</w:t>
            </w:r>
          </w:p>
        </w:tc>
        <w:tc>
          <w:tcPr>
            <w:tcW w:w="1339"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智能二维码卡</w:t>
            </w:r>
          </w:p>
        </w:tc>
        <w:tc>
          <w:tcPr>
            <w:tcW w:w="3848"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0" distR="0">
                  <wp:extent cx="2148840" cy="822960"/>
                  <wp:effectExtent l="0" t="0" r="3810" b="15240"/>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57" cstate="print"/>
                          <a:stretch>
                            <a:fillRect/>
                          </a:stretch>
                        </pic:blipFill>
                        <pic:spPr>
                          <a:xfrm>
                            <a:off x="0" y="0"/>
                            <a:ext cx="2148840" cy="822960"/>
                          </a:xfrm>
                          <a:prstGeom prst="rect">
                            <a:avLst/>
                          </a:prstGeom>
                        </pic:spPr>
                      </pic:pic>
                    </a:graphicData>
                  </a:graphic>
                </wp:inline>
              </w:drawing>
            </w:r>
          </w:p>
        </w:tc>
        <w:tc>
          <w:tcPr>
            <w:tcW w:w="3637" w:type="dxa"/>
            <w:tcBorders>
              <w:top w:val="single" w:color="000000" w:sz="4" w:space="0"/>
              <w:left w:val="single" w:color="000000" w:sz="4" w:space="0"/>
              <w:bottom w:val="single" w:color="000000" w:sz="4" w:space="0"/>
              <w:right w:val="single" w:color="000000" w:sz="4" w:space="0"/>
            </w:tcBorders>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每户一张，绑定居民信息，实现垃圾分类投放溯源以及相应的积分奖励、兑换。</w:t>
            </w:r>
          </w:p>
          <w:p>
            <w:pPr>
              <w:jc w:val="center"/>
              <w:rPr>
                <w:rFonts w:ascii="微软雅黑 Light" w:hAnsi="微软雅黑 Light" w:eastAsia="微软雅黑 Light" w:cs="微软雅黑 Light"/>
                <w:sz w:val="24"/>
                <w:szCs w:val="24"/>
              </w:rPr>
            </w:pPr>
          </w:p>
        </w:tc>
      </w:tr>
      <w:tr>
        <w:tblPrEx>
          <w:tblCellMar>
            <w:top w:w="15" w:type="dxa"/>
            <w:left w:w="15" w:type="dxa"/>
            <w:bottom w:w="15" w:type="dxa"/>
            <w:right w:w="15" w:type="dxa"/>
          </w:tblCellMar>
        </w:tblPrEx>
        <w:trPr>
          <w:trHeight w:val="2867"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9</w:t>
            </w:r>
          </w:p>
        </w:tc>
        <w:tc>
          <w:tcPr>
            <w:tcW w:w="1339"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云监管平台</w:t>
            </w:r>
          </w:p>
        </w:tc>
        <w:tc>
          <w:tcPr>
            <w:tcW w:w="3848" w:type="dxa"/>
            <w:tcBorders>
              <w:top w:val="single" w:color="000000" w:sz="4" w:space="0"/>
              <w:left w:val="single" w:color="000000" w:sz="4" w:space="0"/>
              <w:bottom w:val="single" w:color="000000" w:sz="4" w:space="0"/>
              <w:right w:val="single" w:color="000000" w:sz="4" w:space="0"/>
            </w:tcBorders>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anchor distT="0" distB="0" distL="114300" distR="114300" simplePos="0" relativeHeight="251680768" behindDoc="0" locked="0" layoutInCell="1" allowOverlap="1">
                  <wp:simplePos x="0" y="0"/>
                  <wp:positionH relativeFrom="column">
                    <wp:posOffset>60960</wp:posOffset>
                  </wp:positionH>
                  <wp:positionV relativeFrom="paragraph">
                    <wp:posOffset>40640</wp:posOffset>
                  </wp:positionV>
                  <wp:extent cx="1990725" cy="1209675"/>
                  <wp:effectExtent l="0" t="0" r="9525" b="9525"/>
                  <wp:wrapSquare wrapText="bothSides"/>
                  <wp:docPr id="39"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descr="1"/>
                          <pic:cNvPicPr>
                            <a:picLocks noChangeAspect="1"/>
                          </pic:cNvPicPr>
                        </pic:nvPicPr>
                        <pic:blipFill>
                          <a:blip r:embed="rId58" cstate="print"/>
                          <a:stretch>
                            <a:fillRect/>
                          </a:stretch>
                        </pic:blipFill>
                        <pic:spPr>
                          <a:xfrm>
                            <a:off x="0" y="0"/>
                            <a:ext cx="1990725" cy="1209675"/>
                          </a:xfrm>
                          <a:prstGeom prst="rect">
                            <a:avLst/>
                          </a:prstGeom>
                          <a:noFill/>
                          <a:ln w="9525">
                            <a:noFill/>
                          </a:ln>
                        </pic:spPr>
                      </pic:pic>
                    </a:graphicData>
                  </a:graphic>
                </wp:anchor>
              </w:drawing>
            </w:r>
          </w:p>
        </w:tc>
        <w:tc>
          <w:tcPr>
            <w:tcW w:w="363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☑实时监控</w:t>
            </w:r>
          </w:p>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☑指标分析</w:t>
            </w:r>
          </w:p>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☑人员管理</w:t>
            </w:r>
          </w:p>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☑积分查询</w:t>
            </w:r>
          </w:p>
        </w:tc>
      </w:tr>
    </w:tbl>
    <w:p>
      <w:pPr>
        <w:spacing w:line="360" w:lineRule="auto"/>
      </w:pPr>
    </w:p>
    <w:p>
      <w:pPr>
        <w:ind w:firstLine="632" w:firstLineChars="200"/>
        <w:rPr>
          <w:rFonts w:ascii="仿宋_GB2312" w:hAnsi="仿宋_GB2312" w:eastAsia="仿宋_GB2312" w:cs="仿宋_GB2312"/>
          <w:sz w:val="32"/>
          <w:szCs w:val="32"/>
        </w:rPr>
      </w:pPr>
      <w:bookmarkStart w:id="675" w:name="_Toc536715821"/>
      <w:r>
        <w:rPr>
          <w:rFonts w:hint="eastAsia" w:ascii="仿宋_GB2312" w:hAnsi="仿宋_GB2312" w:eastAsia="仿宋_GB2312" w:cs="仿宋_GB2312"/>
          <w:sz w:val="32"/>
          <w:szCs w:val="32"/>
        </w:rPr>
        <w:t>（2）项目运营</w:t>
      </w:r>
      <w:bookmarkEnd w:id="675"/>
    </w:p>
    <w:tbl>
      <w:tblPr>
        <w:tblStyle w:val="16"/>
        <w:tblW w:w="9040" w:type="dxa"/>
        <w:tblInd w:w="-300" w:type="dxa"/>
        <w:tblLayout w:type="fixed"/>
        <w:tblCellMar>
          <w:top w:w="15" w:type="dxa"/>
          <w:left w:w="15" w:type="dxa"/>
          <w:bottom w:w="15" w:type="dxa"/>
          <w:right w:w="15" w:type="dxa"/>
        </w:tblCellMar>
      </w:tblPr>
      <w:tblGrid>
        <w:gridCol w:w="527"/>
        <w:gridCol w:w="1206"/>
        <w:gridCol w:w="3252"/>
        <w:gridCol w:w="4055"/>
      </w:tblGrid>
      <w:tr>
        <w:tblPrEx>
          <w:tblCellMar>
            <w:top w:w="15" w:type="dxa"/>
            <w:left w:w="15" w:type="dxa"/>
            <w:bottom w:w="15" w:type="dxa"/>
            <w:right w:w="15" w:type="dxa"/>
          </w:tblCellMar>
        </w:tblPrEx>
        <w:trPr>
          <w:trHeight w:val="506"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p>
        </w:tc>
        <w:tc>
          <w:tcPr>
            <w:tcW w:w="1206"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服务项目</w:t>
            </w:r>
          </w:p>
        </w:tc>
        <w:tc>
          <w:tcPr>
            <w:tcW w:w="3252"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相关图片</w:t>
            </w:r>
          </w:p>
        </w:tc>
        <w:tc>
          <w:tcPr>
            <w:tcW w:w="4055"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具体服务内容</w:t>
            </w:r>
          </w:p>
        </w:tc>
      </w:tr>
      <w:tr>
        <w:tblPrEx>
          <w:tblCellMar>
            <w:top w:w="15" w:type="dxa"/>
            <w:left w:w="15" w:type="dxa"/>
            <w:bottom w:w="15" w:type="dxa"/>
            <w:right w:w="15" w:type="dxa"/>
          </w:tblCellMar>
        </w:tblPrEx>
        <w:trPr>
          <w:trHeight w:val="4643" w:hRule="exac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w:t>
            </w:r>
          </w:p>
        </w:tc>
        <w:tc>
          <w:tcPr>
            <w:tcW w:w="1206"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垃圾分类线上互动宣传</w:t>
            </w:r>
          </w:p>
        </w:tc>
        <w:tc>
          <w:tcPr>
            <w:tcW w:w="3252"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0" distR="0">
                  <wp:extent cx="1470660" cy="2595880"/>
                  <wp:effectExtent l="0" t="0" r="15240" b="1397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1477620" cy="2607564"/>
                          </a:xfrm>
                          <a:prstGeom prst="rect">
                            <a:avLst/>
                          </a:prstGeom>
                          <a:noFill/>
                          <a:ln>
                            <a:noFill/>
                          </a:ln>
                        </pic:spPr>
                      </pic:pic>
                    </a:graphicData>
                  </a:graphic>
                </wp:inline>
              </w:drawing>
            </w:r>
          </w:p>
        </w:tc>
        <w:tc>
          <w:tcPr>
            <w:tcW w:w="4055"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 xml:space="preserve">1.通过微信端公众号实行以下宣传                      </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●垃圾分类知识答题</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●垃圾分类趣味游戏</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●垃圾分类知识竞赛</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 xml:space="preserve">●微信公众号推送垃圾分类相关资讯                                      </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2.居民垃圾分类巡检评比得分信息互动、宣教</w:t>
            </w:r>
          </w:p>
        </w:tc>
      </w:tr>
      <w:tr>
        <w:tblPrEx>
          <w:tblCellMar>
            <w:top w:w="15" w:type="dxa"/>
            <w:left w:w="15" w:type="dxa"/>
            <w:bottom w:w="15" w:type="dxa"/>
            <w:right w:w="15" w:type="dxa"/>
          </w:tblCellMar>
        </w:tblPrEx>
        <w:trPr>
          <w:trHeight w:val="5185" w:hRule="exac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2</w:t>
            </w:r>
          </w:p>
        </w:tc>
        <w:tc>
          <w:tcPr>
            <w:tcW w:w="1206"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垃圾分类线下宣传</w:t>
            </w:r>
          </w:p>
        </w:tc>
        <w:tc>
          <w:tcPr>
            <w:tcW w:w="3252"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lang w:val="zh-CN"/>
              </w:rPr>
            </w:pPr>
            <w:r>
              <w:rPr>
                <w:rFonts w:hint="eastAsia" w:ascii="微软雅黑 Light" w:hAnsi="微软雅黑 Light" w:eastAsia="微软雅黑 Light" w:cs="微软雅黑 Light"/>
                <w:sz w:val="24"/>
                <w:szCs w:val="24"/>
              </w:rPr>
              <w:drawing>
                <wp:inline distT="0" distB="0" distL="0" distR="0">
                  <wp:extent cx="1655445" cy="1512570"/>
                  <wp:effectExtent l="0" t="0" r="1905" b="11430"/>
                  <wp:docPr id="32" name="图片 32" descr="最终版四折页1-18 - 转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最终版四折页1-18 - 转曲"/>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1667984" cy="1523845"/>
                          </a:xfrm>
                          <a:prstGeom prst="rect">
                            <a:avLst/>
                          </a:prstGeom>
                          <a:noFill/>
                          <a:ln>
                            <a:noFill/>
                          </a:ln>
                        </pic:spPr>
                      </pic:pic>
                    </a:graphicData>
                  </a:graphic>
                </wp:inline>
              </w:drawing>
            </w:r>
          </w:p>
          <w:p>
            <w:pPr>
              <w:jc w:val="center"/>
              <w:rPr>
                <w:rFonts w:ascii="微软雅黑 Light" w:hAnsi="微软雅黑 Light" w:eastAsia="微软雅黑 Light" w:cs="微软雅黑 Light"/>
                <w:sz w:val="24"/>
                <w:szCs w:val="24"/>
                <w:lang w:val="zh-CN"/>
              </w:rPr>
            </w:pPr>
            <w:r>
              <w:rPr>
                <w:rFonts w:hint="eastAsia" w:ascii="微软雅黑 Light" w:hAnsi="微软雅黑 Light" w:eastAsia="微软雅黑 Light" w:cs="微软雅黑 Light"/>
                <w:sz w:val="24"/>
                <w:szCs w:val="24"/>
              </w:rPr>
              <w:drawing>
                <wp:inline distT="0" distB="0" distL="0" distR="0">
                  <wp:extent cx="1616075" cy="1404620"/>
                  <wp:effectExtent l="0" t="0" r="3175" b="5080"/>
                  <wp:docPr id="51" name="图片 51" descr="6537691385497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6537691385497157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636418" cy="1422749"/>
                          </a:xfrm>
                          <a:prstGeom prst="rect">
                            <a:avLst/>
                          </a:prstGeom>
                          <a:noFill/>
                          <a:ln>
                            <a:noFill/>
                          </a:ln>
                        </pic:spPr>
                      </pic:pic>
                    </a:graphicData>
                  </a:graphic>
                </wp:inline>
              </w:drawing>
            </w:r>
          </w:p>
        </w:tc>
        <w:tc>
          <w:tcPr>
            <w:tcW w:w="4055"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1.垃圾分类宣传资料</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2.在公共区域/宣传栏通过展架、横幅、海报、单页等形式进行宣传（由我方提供设计，由采购方打印制作）</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3.垃圾分类启动仪式</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4.季度垃圾分类宣传活动</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●垃圾减量垃圾分类知识系列讲座、交流会</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●生活垃圾正确分类、投放的讲解演示</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●垃圾分类评比表彰活动</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 xml:space="preserve">5.媒体采访                                     </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6.志愿者垃圾分类社区、单位、农村服务</w:t>
            </w:r>
          </w:p>
        </w:tc>
      </w:tr>
      <w:tr>
        <w:tblPrEx>
          <w:tblCellMar>
            <w:top w:w="15" w:type="dxa"/>
            <w:left w:w="15" w:type="dxa"/>
            <w:bottom w:w="15" w:type="dxa"/>
            <w:right w:w="15" w:type="dxa"/>
          </w:tblCellMar>
        </w:tblPrEx>
        <w:trPr>
          <w:trHeight w:val="1747" w:hRule="atLeast"/>
        </w:trPr>
        <w:tc>
          <w:tcPr>
            <w:tcW w:w="527" w:type="dxa"/>
            <w:tcBorders>
              <w:top w:val="single" w:color="000000" w:sz="4" w:space="0"/>
              <w:left w:val="single" w:color="000000" w:sz="4" w:space="0"/>
              <w:bottom w:val="single" w:color="auto"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3</w:t>
            </w:r>
          </w:p>
        </w:tc>
        <w:tc>
          <w:tcPr>
            <w:tcW w:w="1206" w:type="dxa"/>
            <w:tcBorders>
              <w:top w:val="single" w:color="000000" w:sz="4" w:space="0"/>
              <w:left w:val="single" w:color="000000" w:sz="4" w:space="0"/>
              <w:bottom w:val="single" w:color="auto"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硬件设备安装、调试</w:t>
            </w:r>
          </w:p>
        </w:tc>
        <w:tc>
          <w:tcPr>
            <w:tcW w:w="3252" w:type="dxa"/>
            <w:tcBorders>
              <w:top w:val="single" w:color="000000" w:sz="4" w:space="0"/>
              <w:left w:val="single" w:color="000000" w:sz="4" w:space="0"/>
              <w:bottom w:val="single" w:color="auto"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114300" distR="114300">
                  <wp:extent cx="1352550" cy="2016125"/>
                  <wp:effectExtent l="0" t="0" r="0" b="3175"/>
                  <wp:docPr id="185" name="图片 76" descr="说明: C:\Users\Administrator\Desktop\梧桐蓝山现场施工图片\IMG_20151101_135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76" descr="说明: C:\Users\Administrator\Desktop\梧桐蓝山现场施工图片\IMG_20151101_135422.jpg"/>
                          <pic:cNvPicPr>
                            <a:picLocks noChangeAspect="1"/>
                          </pic:cNvPicPr>
                        </pic:nvPicPr>
                        <pic:blipFill>
                          <a:blip r:embed="rId62" cstate="print"/>
                          <a:stretch>
                            <a:fillRect/>
                          </a:stretch>
                        </pic:blipFill>
                        <pic:spPr>
                          <a:xfrm>
                            <a:off x="0" y="0"/>
                            <a:ext cx="1380443" cy="2058275"/>
                          </a:xfrm>
                          <a:prstGeom prst="rect">
                            <a:avLst/>
                          </a:prstGeom>
                          <a:noFill/>
                          <a:ln w="9525">
                            <a:noFill/>
                          </a:ln>
                        </pic:spPr>
                      </pic:pic>
                    </a:graphicData>
                  </a:graphic>
                </wp:inline>
              </w:drawing>
            </w:r>
          </w:p>
        </w:tc>
        <w:tc>
          <w:tcPr>
            <w:tcW w:w="4055" w:type="dxa"/>
            <w:tcBorders>
              <w:top w:val="single" w:color="000000" w:sz="4" w:space="0"/>
              <w:left w:val="single" w:color="000000" w:sz="4" w:space="0"/>
              <w:bottom w:val="single" w:color="auto" w:sz="4" w:space="0"/>
              <w:right w:val="single" w:color="000000" w:sz="4" w:space="0"/>
            </w:tcBorders>
            <w:vAlign w:val="center"/>
          </w:tcPr>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1.现场勘测场地</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 xml:space="preserve">2.实际场地测量                                 </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 xml:space="preserve">3.基础施工                                       </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 xml:space="preserve">4.设备安装、调试                                </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 xml:space="preserve">5.智能二维码卡片制作                                    </w:t>
            </w:r>
          </w:p>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6.设备调试</w:t>
            </w:r>
          </w:p>
        </w:tc>
      </w:tr>
      <w:tr>
        <w:tblPrEx>
          <w:tblCellMar>
            <w:top w:w="15" w:type="dxa"/>
            <w:left w:w="15" w:type="dxa"/>
            <w:bottom w:w="15" w:type="dxa"/>
            <w:right w:w="15" w:type="dxa"/>
          </w:tblCellMar>
        </w:tblPrEx>
        <w:trPr>
          <w:trHeight w:val="3083" w:hRule="exac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4</w:t>
            </w:r>
          </w:p>
        </w:tc>
        <w:tc>
          <w:tcPr>
            <w:tcW w:w="1206"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积分兑换活动</w:t>
            </w:r>
          </w:p>
        </w:tc>
        <w:tc>
          <w:tcPr>
            <w:tcW w:w="3252"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0" distR="0">
                  <wp:extent cx="1881505" cy="1414780"/>
                  <wp:effectExtent l="0" t="0" r="4445" b="13970"/>
                  <wp:docPr id="60" name="图片 60" descr="3794312572395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794312572395149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1895115" cy="1425126"/>
                          </a:xfrm>
                          <a:prstGeom prst="rect">
                            <a:avLst/>
                          </a:prstGeom>
                          <a:noFill/>
                          <a:ln>
                            <a:noFill/>
                          </a:ln>
                        </pic:spPr>
                      </pic:pic>
                    </a:graphicData>
                  </a:graphic>
                </wp:inline>
              </w:drawing>
            </w:r>
          </w:p>
        </w:tc>
        <w:tc>
          <w:tcPr>
            <w:tcW w:w="4055"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1.积分获得：用户可以通过知识答题、知识竞赛、趣味游戏、回收品及垃圾分类投放达标等途径获得积分</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2.积分兑换：用户可到指定商铺兑换，积分可用于兑换环保垃圾袋、日用品等（奖品根据实际情况定）                                        3.根据采购方要求实行积分兑换活动，用户也可以自主在兑换机上进行积分兑换</w:t>
            </w:r>
          </w:p>
        </w:tc>
      </w:tr>
      <w:tr>
        <w:tblPrEx>
          <w:tblCellMar>
            <w:top w:w="15" w:type="dxa"/>
            <w:left w:w="15" w:type="dxa"/>
            <w:bottom w:w="15" w:type="dxa"/>
            <w:right w:w="15" w:type="dxa"/>
          </w:tblCellMar>
        </w:tblPrEx>
        <w:trPr>
          <w:trHeight w:val="3525" w:hRule="exact"/>
        </w:trPr>
        <w:tc>
          <w:tcPr>
            <w:tcW w:w="527"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5</w:t>
            </w:r>
          </w:p>
        </w:tc>
        <w:tc>
          <w:tcPr>
            <w:tcW w:w="1206"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垃圾分类云后台大数据服务</w:t>
            </w:r>
          </w:p>
        </w:tc>
        <w:tc>
          <w:tcPr>
            <w:tcW w:w="3252"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0" distR="0">
                  <wp:extent cx="1814195" cy="1116330"/>
                  <wp:effectExtent l="0" t="0" r="14605" b="762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1844145" cy="1134849"/>
                          </a:xfrm>
                          <a:prstGeom prst="rect">
                            <a:avLst/>
                          </a:prstGeom>
                          <a:noFill/>
                          <a:ln>
                            <a:noFill/>
                          </a:ln>
                        </pic:spPr>
                      </pic:pic>
                    </a:graphicData>
                  </a:graphic>
                </wp:inline>
              </w:drawing>
            </w:r>
          </w:p>
        </w:tc>
        <w:tc>
          <w:tcPr>
            <w:tcW w:w="4055" w:type="dxa"/>
            <w:tcBorders>
              <w:top w:val="single" w:color="000000" w:sz="4" w:space="0"/>
              <w:left w:val="single" w:color="000000" w:sz="4" w:space="0"/>
              <w:bottom w:val="single" w:color="000000" w:sz="4" w:space="0"/>
              <w:right w:val="single" w:color="000000" w:sz="4" w:space="0"/>
            </w:tcBorders>
            <w:vAlign w:val="center"/>
          </w:tcPr>
          <w:p>
            <w:pPr>
              <w:spacing w:line="2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1.建立垃圾分类从垃圾袋从分发领用、垃圾分类情况考核各项数据的后台网络化管理</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2.垃圾分类智能分发设备的远程监控、管理及数据统计</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3.实现垃圾分类工作各项数据统计、查询、分析、管理</w:t>
            </w:r>
            <w:r>
              <w:rPr>
                <w:rFonts w:hint="eastAsia" w:ascii="微软雅黑 Light" w:hAnsi="微软雅黑 Light" w:eastAsia="微软雅黑 Light" w:cs="微软雅黑 Light"/>
                <w:sz w:val="24"/>
                <w:szCs w:val="24"/>
              </w:rPr>
              <w:br w:type="textWrapping"/>
            </w:r>
            <w:r>
              <w:rPr>
                <w:rFonts w:hint="eastAsia" w:ascii="微软雅黑 Light" w:hAnsi="微软雅黑 Light" w:eastAsia="微软雅黑 Light" w:cs="微软雅黑 Light"/>
                <w:sz w:val="24"/>
                <w:szCs w:val="24"/>
              </w:rPr>
              <w:t>4.实现居民垃圾分类参与率、分类正确率、减排量数据采集、考核管理</w:t>
            </w:r>
          </w:p>
        </w:tc>
      </w:tr>
      <w:tr>
        <w:tblPrEx>
          <w:tblCellMar>
            <w:top w:w="15" w:type="dxa"/>
            <w:left w:w="15" w:type="dxa"/>
            <w:bottom w:w="15" w:type="dxa"/>
            <w:right w:w="15" w:type="dxa"/>
          </w:tblCellMar>
        </w:tblPrEx>
        <w:trPr>
          <w:trHeight w:val="1061"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6</w:t>
            </w:r>
          </w:p>
        </w:tc>
        <w:tc>
          <w:tcPr>
            <w:tcW w:w="1206"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系统、设备等日常运营、维护服务</w:t>
            </w:r>
          </w:p>
        </w:tc>
        <w:tc>
          <w:tcPr>
            <w:tcW w:w="3252"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rFonts w:ascii="微软雅黑 Light" w:hAnsi="微软雅黑 Light" w:eastAsia="微软雅黑 Light" w:cs="微软雅黑 Light"/>
                <w:sz w:val="24"/>
                <w:szCs w:val="24"/>
              </w:rPr>
            </w:pPr>
          </w:p>
        </w:tc>
        <w:tc>
          <w:tcPr>
            <w:tcW w:w="4055"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提供系统、设备的日常运营、维护服务，保证设备和系统的正常运营</w:t>
            </w:r>
          </w:p>
        </w:tc>
      </w:tr>
      <w:tr>
        <w:tblPrEx>
          <w:tblCellMar>
            <w:top w:w="15" w:type="dxa"/>
            <w:left w:w="15" w:type="dxa"/>
            <w:bottom w:w="15" w:type="dxa"/>
            <w:right w:w="15" w:type="dxa"/>
          </w:tblCellMar>
        </w:tblPrEx>
        <w:trPr>
          <w:trHeight w:val="1446"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7</w:t>
            </w:r>
          </w:p>
        </w:tc>
        <w:tc>
          <w:tcPr>
            <w:tcW w:w="1206"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二维码垃圾袋</w:t>
            </w:r>
          </w:p>
        </w:tc>
        <w:tc>
          <w:tcPr>
            <w:tcW w:w="3252"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0" distR="0">
                  <wp:extent cx="1047115" cy="1799590"/>
                  <wp:effectExtent l="0" t="0" r="635" b="1016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047115" cy="1799590"/>
                          </a:xfrm>
                          <a:prstGeom prst="rect">
                            <a:avLst/>
                          </a:prstGeom>
                        </pic:spPr>
                      </pic:pic>
                    </a:graphicData>
                  </a:graphic>
                </wp:inline>
              </w:drawing>
            </w:r>
          </w:p>
        </w:tc>
        <w:tc>
          <w:tcPr>
            <w:tcW w:w="4055" w:type="dxa"/>
            <w:tcBorders>
              <w:top w:val="single" w:color="000000" w:sz="4" w:space="0"/>
              <w:left w:val="single" w:color="000000" w:sz="4" w:space="0"/>
              <w:bottom w:val="single" w:color="000000" w:sz="4" w:space="0"/>
              <w:right w:val="single" w:color="000000" w:sz="4" w:space="0"/>
            </w:tcBorders>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居民关注我们微信平台后可以通过微信端提供的专属二维码领取相应的垃圾袋，从而对生活中的垃圾进行分类处理。同时，居民还可以从此赚取分类积分，去商户处兑换商品。</w:t>
            </w:r>
          </w:p>
        </w:tc>
      </w:tr>
      <w:tr>
        <w:tblPrEx>
          <w:tblCellMar>
            <w:top w:w="15" w:type="dxa"/>
            <w:left w:w="15" w:type="dxa"/>
            <w:bottom w:w="15" w:type="dxa"/>
            <w:right w:w="15" w:type="dxa"/>
          </w:tblCellMar>
        </w:tblPrEx>
        <w:trPr>
          <w:trHeight w:val="1446" w:hRule="atLeast"/>
        </w:trPr>
        <w:tc>
          <w:tcPr>
            <w:tcW w:w="527"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8</w:t>
            </w:r>
          </w:p>
        </w:tc>
        <w:tc>
          <w:tcPr>
            <w:tcW w:w="1206"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定时定点回收服务</w:t>
            </w:r>
          </w:p>
        </w:tc>
        <w:tc>
          <w:tcPr>
            <w:tcW w:w="3252" w:type="dxa"/>
            <w:tcBorders>
              <w:top w:val="single" w:color="000000" w:sz="4" w:space="0"/>
              <w:left w:val="single" w:color="000000" w:sz="4" w:space="0"/>
              <w:bottom w:val="single" w:color="000000" w:sz="4" w:space="0"/>
              <w:right w:val="single" w:color="000000" w:sz="4" w:space="0"/>
            </w:tcBorders>
            <w:vAlign w:val="center"/>
          </w:tcPr>
          <w:p>
            <w:pPr>
              <w:jc w:val="cente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drawing>
                <wp:inline distT="0" distB="0" distL="114300" distR="114300">
                  <wp:extent cx="1653540" cy="1114425"/>
                  <wp:effectExtent l="0" t="0" r="3810" b="9525"/>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66" cstate="print"/>
                          <a:stretch>
                            <a:fillRect/>
                          </a:stretch>
                        </pic:blipFill>
                        <pic:spPr>
                          <a:xfrm>
                            <a:off x="0" y="0"/>
                            <a:ext cx="1666413" cy="1123150"/>
                          </a:xfrm>
                          <a:prstGeom prst="rect">
                            <a:avLst/>
                          </a:prstGeom>
                          <a:noFill/>
                          <a:ln w="9525">
                            <a:noFill/>
                          </a:ln>
                        </pic:spPr>
                      </pic:pic>
                    </a:graphicData>
                  </a:graphic>
                </wp:inline>
              </w:drawing>
            </w:r>
          </w:p>
        </w:tc>
        <w:tc>
          <w:tcPr>
            <w:tcW w:w="4055" w:type="dxa"/>
            <w:tcBorders>
              <w:top w:val="single" w:color="000000" w:sz="4" w:space="0"/>
              <w:left w:val="single" w:color="000000" w:sz="4" w:space="0"/>
              <w:bottom w:val="single" w:color="000000" w:sz="4" w:space="0"/>
              <w:right w:val="single" w:color="000000" w:sz="4" w:space="0"/>
            </w:tcBorders>
            <w:vAlign w:val="center"/>
          </w:tcPr>
          <w:p>
            <w:pPr>
              <w:rPr>
                <w:rFonts w:ascii="微软雅黑 Light" w:hAnsi="微软雅黑 Light" w:eastAsia="微软雅黑 Light" w:cs="微软雅黑 Light"/>
                <w:sz w:val="24"/>
                <w:szCs w:val="24"/>
              </w:rPr>
            </w:pPr>
            <w:r>
              <w:rPr>
                <w:rFonts w:hint="eastAsia" w:ascii="微软雅黑 Light" w:hAnsi="微软雅黑 Light" w:eastAsia="微软雅黑 Light" w:cs="微软雅黑 Light"/>
                <w:sz w:val="24"/>
                <w:szCs w:val="24"/>
              </w:rPr>
              <w:t>人员定时定点收集对项目上的可回收物进行收集</w:t>
            </w:r>
          </w:p>
        </w:tc>
      </w:tr>
    </w:tbl>
    <w:p>
      <w:pPr>
        <w:ind w:firstLine="632" w:firstLineChars="200"/>
        <w:rPr>
          <w:rFonts w:ascii="仿宋_GB2312" w:hAnsi="仿宋_GB2312" w:eastAsia="仿宋_GB2312" w:cs="仿宋_GB2312"/>
          <w:sz w:val="32"/>
          <w:szCs w:val="32"/>
        </w:rPr>
      </w:pP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1）小区生活垃圾分类运营</w:t>
      </w:r>
      <w:bookmarkEnd w:id="663"/>
      <w:bookmarkEnd w:id="664"/>
      <w:bookmarkEnd w:id="665"/>
      <w:bookmarkEnd w:id="666"/>
      <w:bookmarkEnd w:id="667"/>
      <w:bookmarkEnd w:id="668"/>
      <w:bookmarkEnd w:id="669"/>
      <w:bookmarkEnd w:id="670"/>
      <w:bookmarkEnd w:id="671"/>
      <w:bookmarkEnd w:id="672"/>
    </w:p>
    <w:p>
      <w:pPr>
        <w:ind w:firstLine="632" w:firstLineChars="200"/>
        <w:rPr>
          <w:rFonts w:ascii="仿宋_GB2312" w:hAnsi="仿宋_GB2312" w:eastAsia="仿宋_GB2312" w:cs="仿宋_GB2312"/>
          <w:sz w:val="32"/>
          <w:szCs w:val="32"/>
        </w:rPr>
      </w:pPr>
      <w:bookmarkStart w:id="676" w:name="_Toc519897818"/>
      <w:bookmarkStart w:id="677" w:name="_Toc519897817"/>
      <w:r>
        <w:rPr>
          <w:rFonts w:hint="eastAsia" w:ascii="仿宋_GB2312" w:hAnsi="仿宋_GB2312" w:eastAsia="仿宋_GB2312" w:cs="仿宋_GB2312"/>
          <w:sz w:val="32"/>
          <w:szCs w:val="32"/>
        </w:rPr>
        <w:t>①智能积分卡发放</w:t>
      </w:r>
      <w:bookmarkEnd w:id="676"/>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向每户居民家庭发放智能积分卡，用于积分兑换商品，积分卡如下图：</w:t>
      </w:r>
    </w:p>
    <w:p>
      <w:pPr>
        <w:ind w:firstLine="480"/>
        <w:rPr>
          <w:rFonts w:ascii="宋体" w:hAnsi="宋体" w:cs="Times New Roman"/>
          <w:sz w:val="32"/>
          <w:szCs w:val="32"/>
        </w:rPr>
      </w:pPr>
      <w:r>
        <w:rPr>
          <w:rFonts w:ascii="宋体" w:hAnsi="宋体"/>
          <w:szCs w:val="24"/>
        </w:rPr>
        <w:drawing>
          <wp:inline distT="0" distB="0" distL="0" distR="0">
            <wp:extent cx="4993005" cy="3124835"/>
            <wp:effectExtent l="0" t="0" r="17145" b="18415"/>
            <wp:docPr id="161" name="图片 11" descr="E:\工作文件\嘉峪关市生活垃圾分类可研\积分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1" descr="E:\工作文件\嘉峪关市生活垃圾分类可研\积分卡.jpg"/>
                    <pic:cNvPicPr>
                      <a:picLocks noChangeAspect="1" noChangeArrowheads="1"/>
                    </pic:cNvPicPr>
                  </pic:nvPicPr>
                  <pic:blipFill>
                    <a:blip r:embed="rId67" cstate="print"/>
                    <a:srcRect/>
                    <a:stretch>
                      <a:fillRect/>
                    </a:stretch>
                  </pic:blipFill>
                  <pic:spPr>
                    <a:xfrm>
                      <a:off x="0" y="0"/>
                      <a:ext cx="5005415" cy="3133084"/>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②住户二维码垃圾贴条发放</w:t>
      </w:r>
      <w:bookmarkEnd w:id="677"/>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在嘉峪关市各小区通过每月向每户居民家庭发放60个两种类型的二维码贴条，居民用自备垃圾袋分类后贴上二维码贴条，扫码后开启对应的箱门投递。</w:t>
      </w:r>
    </w:p>
    <w:p>
      <w:pPr>
        <w:ind w:firstLine="480"/>
        <w:jc w:val="center"/>
        <w:rPr>
          <w:rFonts w:ascii="宋体" w:hAnsi="宋体"/>
          <w:highlight w:val="yellow"/>
          <w:lang w:val="zh-CN"/>
        </w:rPr>
      </w:pPr>
      <w:r>
        <w:rPr>
          <w:rFonts w:hint="eastAsia" w:ascii="宋体" w:hAnsi="宋体"/>
          <w:highlight w:val="yellow"/>
        </w:rPr>
        <w:drawing>
          <wp:inline distT="0" distB="0" distL="114300" distR="114300">
            <wp:extent cx="3696970" cy="4929505"/>
            <wp:effectExtent l="0" t="0" r="17780" b="4445"/>
            <wp:docPr id="162" name="图片 162" descr="二维码贴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二维码贴条"/>
                    <pic:cNvPicPr>
                      <a:picLocks noChangeAspect="1"/>
                    </pic:cNvPicPr>
                  </pic:nvPicPr>
                  <pic:blipFill>
                    <a:blip r:embed="rId68" cstate="print"/>
                    <a:stretch>
                      <a:fillRect/>
                    </a:stretch>
                  </pic:blipFill>
                  <pic:spPr>
                    <a:xfrm>
                      <a:off x="0" y="0"/>
                      <a:ext cx="3697356" cy="4930017"/>
                    </a:xfrm>
                    <a:prstGeom prst="rect">
                      <a:avLst/>
                    </a:prstGeom>
                  </pic:spPr>
                </pic:pic>
              </a:graphicData>
            </a:graphic>
          </wp:inline>
        </w:drawing>
      </w:r>
    </w:p>
    <w:p>
      <w:pPr>
        <w:ind w:firstLine="480"/>
        <w:rPr>
          <w:rFonts w:ascii="宋体" w:hAnsi="宋体"/>
          <w:lang w:val="zh-CN"/>
        </w:rPr>
      </w:pPr>
    </w:p>
    <w:p>
      <w:pPr>
        <w:ind w:firstLine="632" w:firstLineChars="200"/>
        <w:rPr>
          <w:rFonts w:ascii="仿宋_GB2312" w:hAnsi="仿宋_GB2312" w:eastAsia="仿宋_GB2312" w:cs="仿宋_GB2312"/>
          <w:sz w:val="32"/>
          <w:szCs w:val="32"/>
        </w:rPr>
      </w:pPr>
      <w:bookmarkStart w:id="678" w:name="_Toc519897819"/>
      <w:r>
        <w:rPr>
          <w:rFonts w:hint="eastAsia" w:ascii="仿宋_GB2312" w:hAnsi="仿宋_GB2312" w:eastAsia="仿宋_GB2312" w:cs="仿宋_GB2312"/>
          <w:sz w:val="32"/>
          <w:szCs w:val="32"/>
        </w:rPr>
        <w:t>③巡检员</w:t>
      </w:r>
      <w:bookmarkEnd w:id="678"/>
      <w:r>
        <w:rPr>
          <w:rFonts w:hint="eastAsia" w:ascii="仿宋_GB2312" w:hAnsi="仿宋_GB2312" w:eastAsia="仿宋_GB2312" w:cs="仿宋_GB2312"/>
          <w:sz w:val="32"/>
          <w:szCs w:val="32"/>
        </w:rPr>
        <w:t>引导</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每个小区按300户居民配备一个巡检员，巡检员负责日常住户投递垃圾的分类质量的扫码评分工作、小区定时巡查引导居民正确分类、设备故障报修以及可回收物的清运工作；巡检员的抽查评分工作需在垃圾清运人员工作前完成；巡检员可招募兼职和全职人员。</w:t>
      </w:r>
    </w:p>
    <w:p>
      <w:pPr>
        <w:ind w:firstLine="632" w:firstLineChars="200"/>
        <w:rPr>
          <w:rFonts w:ascii="仿宋_GB2312" w:hAnsi="仿宋_GB2312" w:eastAsia="仿宋_GB2312" w:cs="仿宋_GB2312"/>
          <w:sz w:val="32"/>
          <w:szCs w:val="32"/>
        </w:rPr>
      </w:pPr>
      <w:bookmarkStart w:id="679" w:name="_Toc519897820"/>
      <w:r>
        <w:rPr>
          <w:rFonts w:hint="eastAsia" w:ascii="仿宋_GB2312" w:hAnsi="仿宋_GB2312" w:eastAsia="仿宋_GB2312" w:cs="仿宋_GB2312"/>
          <w:sz w:val="32"/>
          <w:szCs w:val="32"/>
        </w:rPr>
        <w:t>④活动宣传</w:t>
      </w:r>
      <w:bookmarkEnd w:id="679"/>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由负责小区垃圾分类运维的第三方公司，负责组织相关垃圾分类活动（包括发放宣传册等），不仅提升了小区居民垃圾分类意识，而且通过相关激励措施，提高了垃圾分类积极性和口碑宣传。</w:t>
      </w:r>
    </w:p>
    <w:p>
      <w:pPr>
        <w:jc w:val="center"/>
        <w:rPr>
          <w:rFonts w:ascii="宋体" w:hAnsi="宋体"/>
          <w:szCs w:val="24"/>
        </w:rPr>
      </w:pPr>
      <w:r>
        <w:rPr>
          <w:rFonts w:ascii="宋体" w:hAnsi="宋体"/>
          <w:szCs w:val="24"/>
        </w:rPr>
        <w:drawing>
          <wp:inline distT="0" distB="0" distL="0" distR="0">
            <wp:extent cx="4509135" cy="2942590"/>
            <wp:effectExtent l="0" t="0" r="5715" b="10160"/>
            <wp:docPr id="1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
                    <pic:cNvPicPr>
                      <a:picLocks noChangeAspect="1" noChangeArrowheads="1"/>
                    </pic:cNvPicPr>
                  </pic:nvPicPr>
                  <pic:blipFill>
                    <a:blip r:embed="rId69" cstate="print"/>
                    <a:srcRect/>
                    <a:stretch>
                      <a:fillRect/>
                    </a:stretch>
                  </pic:blipFill>
                  <pic:spPr>
                    <a:xfrm>
                      <a:off x="0" y="0"/>
                      <a:ext cx="4517889" cy="2948316"/>
                    </a:xfrm>
                    <a:prstGeom prst="rect">
                      <a:avLst/>
                    </a:prstGeom>
                    <a:noFill/>
                    <a:ln w="9525">
                      <a:noFill/>
                      <a:miter lim="800000"/>
                      <a:headEnd/>
                      <a:tailEnd/>
                    </a:ln>
                  </pic:spPr>
                </pic:pic>
              </a:graphicData>
            </a:graphic>
          </wp:inline>
        </w:drawing>
      </w:r>
    </w:p>
    <w:p>
      <w:pPr>
        <w:ind w:firstLine="480"/>
        <w:jc w:val="center"/>
        <w:rPr>
          <w:rFonts w:ascii="宋体" w:hAnsi="宋体"/>
          <w:szCs w:val="24"/>
        </w:rPr>
      </w:pPr>
    </w:p>
    <w:p>
      <w:pPr>
        <w:ind w:firstLine="632" w:firstLineChars="200"/>
        <w:rPr>
          <w:rFonts w:ascii="仿宋_GB2312" w:hAnsi="仿宋_GB2312" w:eastAsia="仿宋_GB2312" w:cs="仿宋_GB2312"/>
          <w:sz w:val="32"/>
          <w:szCs w:val="32"/>
        </w:rPr>
      </w:pPr>
      <w:bookmarkStart w:id="680" w:name="_Toc519897821"/>
      <w:r>
        <w:rPr>
          <w:rFonts w:hint="eastAsia" w:ascii="仿宋_GB2312" w:hAnsi="仿宋_GB2312" w:eastAsia="仿宋_GB2312" w:cs="仿宋_GB2312"/>
          <w:sz w:val="32"/>
          <w:szCs w:val="32"/>
        </w:rPr>
        <w:t>⑤积分兑换商品</w:t>
      </w:r>
      <w:bookmarkEnd w:id="680"/>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每个小区配置一个积分超市APP，积分超市则可以由小区附近的超市来进行兑换。</w:t>
      </w:r>
    </w:p>
    <w:p>
      <w:pPr>
        <w:ind w:firstLine="632" w:firstLineChars="200"/>
        <w:rPr>
          <w:rFonts w:ascii="仿宋_GB2312" w:hAnsi="仿宋_GB2312" w:eastAsia="仿宋_GB2312" w:cs="仿宋_GB2312"/>
          <w:sz w:val="32"/>
          <w:szCs w:val="32"/>
        </w:rPr>
      </w:pPr>
      <w:bookmarkStart w:id="681" w:name="_Toc519897822"/>
      <w:r>
        <w:rPr>
          <w:rFonts w:hint="eastAsia" w:ascii="仿宋_GB2312" w:hAnsi="仿宋_GB2312" w:eastAsia="仿宋_GB2312" w:cs="仿宋_GB2312"/>
          <w:sz w:val="32"/>
          <w:szCs w:val="32"/>
        </w:rPr>
        <w:t>⑥小区生活垃圾清运</w:t>
      </w:r>
      <w:bookmarkEnd w:id="681"/>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嘉峪关市各小区将生活垃圾投放于智能垃圾分类投放回收箱内，在垃圾清运之前，配备的垃圾巡检员要完成垃圾分类评价打分工作。</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垃圾清运人员，坚持垃圾分类清运的原则，即厨余垃圾用绿色的240L垃圾桶进行汇总集中，其他垃圾用黄色的240L垃圾桶进行汇总集中。</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生活小区全部采用收运平板汽车，以桶换桶的方式来收集餐厨垃圾和其他垃圾，其中厨余垃圾直接运往餐厨垃圾处理场；收集的其他垃圾运往垃圾中转站后，由压缩车进行收运处理。智能可回收箱内的可回收物，巡检员（或其他指定人员）负责收集，由运营公司收运处理。有害垃圾投放箱收集的各种有害垃圾，由小区巡检员（或其他指定人员）负责收集，由有毒有害收运资质的公司定期收运。</w:t>
      </w:r>
    </w:p>
    <w:p>
      <w:pPr>
        <w:ind w:firstLine="632" w:firstLineChars="200"/>
        <w:rPr>
          <w:rFonts w:ascii="仿宋_GB2312" w:hAnsi="仿宋_GB2312" w:eastAsia="仿宋_GB2312" w:cs="仿宋_GB2312"/>
          <w:sz w:val="32"/>
          <w:szCs w:val="32"/>
        </w:rPr>
      </w:pPr>
    </w:p>
    <w:p>
      <w:pPr>
        <w:pStyle w:val="15"/>
        <w:widowControl/>
        <w:shd w:val="clear" w:color="auto" w:fill="FFFFFF"/>
        <w:spacing w:beforeAutospacing="0" w:afterAutospacing="0"/>
        <w:ind w:firstLine="482"/>
        <w:rPr>
          <w:rFonts w:ascii="宋体" w:hAnsi="宋体" w:cstheme="minorBidi"/>
          <w:b/>
          <w:bCs/>
          <w:kern w:val="2"/>
          <w:szCs w:val="24"/>
        </w:rPr>
      </w:pPr>
      <w:r>
        <w:rPr>
          <w:rFonts w:hint="eastAsia" w:ascii="宋体" w:hAnsi="宋体" w:cstheme="minorBidi"/>
          <w:b/>
          <w:bCs/>
          <w:kern w:val="2"/>
          <w:szCs w:val="24"/>
        </w:rPr>
        <w:drawing>
          <wp:inline distT="0" distB="0" distL="114300" distR="114300">
            <wp:extent cx="5017135" cy="3752850"/>
            <wp:effectExtent l="0" t="0" r="12065" b="0"/>
            <wp:docPr id="66" name="图片 66" descr="1534101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534101741(1)"/>
                    <pic:cNvPicPr>
                      <a:picLocks noChangeAspect="1"/>
                    </pic:cNvPicPr>
                  </pic:nvPicPr>
                  <pic:blipFill>
                    <a:blip r:embed="rId70" cstate="print"/>
                    <a:stretch>
                      <a:fillRect/>
                    </a:stretch>
                  </pic:blipFill>
                  <pic:spPr>
                    <a:xfrm>
                      <a:off x="0" y="0"/>
                      <a:ext cx="5019132" cy="3754728"/>
                    </a:xfrm>
                    <a:prstGeom prst="rect">
                      <a:avLst/>
                    </a:prstGeom>
                  </pic:spPr>
                </pic:pic>
              </a:graphicData>
            </a:graphic>
          </wp:inline>
        </w:drawing>
      </w:r>
    </w:p>
    <w:p>
      <w:pPr>
        <w:ind w:firstLine="632" w:firstLineChars="200"/>
        <w:rPr>
          <w:rFonts w:ascii="仿宋_GB2312" w:hAnsi="仿宋_GB2312" w:eastAsia="仿宋_GB2312" w:cs="仿宋_GB2312"/>
          <w:sz w:val="32"/>
          <w:szCs w:val="32"/>
        </w:rPr>
      </w:pPr>
      <w:bookmarkStart w:id="682" w:name="_Toc25713_WPSOffice_Level2"/>
      <w:bookmarkStart w:id="683" w:name="_Toc25712_WPSOffice_Level2"/>
      <w:bookmarkStart w:id="684" w:name="_Toc521881756"/>
      <w:bookmarkStart w:id="685" w:name="_Toc27693_WPSOffice_Level3"/>
      <w:bookmarkStart w:id="686" w:name="_Toc17683_WPSOffice_Level3"/>
      <w:r>
        <w:rPr>
          <w:rFonts w:hint="eastAsia" w:ascii="仿宋_GB2312" w:hAnsi="仿宋_GB2312" w:eastAsia="仿宋_GB2312" w:cs="仿宋_GB2312"/>
          <w:sz w:val="32"/>
          <w:szCs w:val="32"/>
        </w:rPr>
        <w:t>（2）街道商铺生活垃圾分类运营</w:t>
      </w:r>
      <w:bookmarkEnd w:id="682"/>
      <w:bookmarkEnd w:id="683"/>
      <w:bookmarkEnd w:id="684"/>
      <w:bookmarkEnd w:id="685"/>
      <w:bookmarkEnd w:id="686"/>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1）街道商户垃圾桶发放</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街道普通商户每户发放两个垃圾桶，一个绿色桶，一个黄色桶，并将绿色桶上贴上二维码。垃圾桶外形如下图所示：</w:t>
      </w:r>
    </w:p>
    <w:p>
      <w:pPr>
        <w:ind w:firstLine="480"/>
        <w:jc w:val="center"/>
        <w:rPr>
          <w:rFonts w:ascii="宋体" w:hAnsi="宋体"/>
          <w:szCs w:val="24"/>
        </w:rPr>
      </w:pPr>
      <w:r>
        <w:rPr>
          <w:rFonts w:ascii="宋体" w:hAnsi="宋体"/>
          <w:szCs w:val="24"/>
        </w:rPr>
        <w:drawing>
          <wp:inline distT="0" distB="0" distL="0" distR="0">
            <wp:extent cx="2879725" cy="2954655"/>
            <wp:effectExtent l="0" t="0" r="15875" b="17145"/>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noChangeArrowheads="1"/>
                    </pic:cNvPicPr>
                  </pic:nvPicPr>
                  <pic:blipFill>
                    <a:blip r:embed="rId71" cstate="print"/>
                    <a:srcRect/>
                    <a:stretch>
                      <a:fillRect/>
                    </a:stretch>
                  </pic:blipFill>
                  <pic:spPr>
                    <a:xfrm>
                      <a:off x="0" y="0"/>
                      <a:ext cx="2880000" cy="2954907"/>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街道餐饮店商户每户发放一个240L绿色餐厨垃圾桶，并贴上二维码。</w:t>
      </w:r>
    </w:p>
    <w:p>
      <w:pPr>
        <w:pStyle w:val="15"/>
        <w:widowControl/>
        <w:shd w:val="clear" w:color="auto" w:fill="FFFFFF"/>
        <w:spacing w:beforeAutospacing="0" w:afterAutospacing="0"/>
        <w:ind w:firstLine="480"/>
        <w:jc w:val="center"/>
        <w:rPr>
          <w:rFonts w:ascii="宋体" w:hAnsi="宋体" w:cstheme="minorBidi"/>
          <w:kern w:val="2"/>
          <w:szCs w:val="24"/>
        </w:rPr>
      </w:pPr>
      <w:r>
        <w:rPr>
          <w:rFonts w:hint="eastAsia" w:ascii="宋体" w:hAnsi="宋体" w:cstheme="minorBidi"/>
          <w:kern w:val="2"/>
          <w:szCs w:val="24"/>
        </w:rPr>
        <w:drawing>
          <wp:inline distT="0" distB="0" distL="114300" distR="114300">
            <wp:extent cx="2879725" cy="2879725"/>
            <wp:effectExtent l="0" t="0" r="15875" b="15875"/>
            <wp:docPr id="85" name="图片 85" descr="1533979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1533979504(1)"/>
                    <pic:cNvPicPr>
                      <a:picLocks noChangeAspect="1"/>
                    </pic:cNvPicPr>
                  </pic:nvPicPr>
                  <pic:blipFill>
                    <a:blip r:embed="rId72" cstate="print"/>
                    <a:stretch>
                      <a:fillRect/>
                    </a:stretch>
                  </pic:blipFill>
                  <pic:spPr>
                    <a:xfrm>
                      <a:off x="0" y="0"/>
                      <a:ext cx="2880000" cy="2880000"/>
                    </a:xfrm>
                    <a:prstGeom prst="rect">
                      <a:avLst/>
                    </a:prstGeom>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2）智能积分卡发放</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向每个商户发放智能积分卡，用于积分兑换商品，积分卡如下图：</w:t>
      </w:r>
    </w:p>
    <w:p>
      <w:pPr>
        <w:ind w:firstLine="480"/>
        <w:jc w:val="center"/>
        <w:rPr>
          <w:rFonts w:ascii="宋体" w:hAnsi="宋体"/>
          <w:szCs w:val="24"/>
        </w:rPr>
      </w:pPr>
      <w:r>
        <w:rPr>
          <w:rFonts w:ascii="宋体" w:hAnsi="宋体"/>
          <w:szCs w:val="24"/>
        </w:rPr>
        <w:drawing>
          <wp:inline distT="0" distB="0" distL="0" distR="0">
            <wp:extent cx="4993005" cy="3124835"/>
            <wp:effectExtent l="0" t="0" r="17145" b="18415"/>
            <wp:docPr id="163" name="图片 11" descr="E:\工作文件\嘉峪关市生活垃圾分类可研\积分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1" descr="E:\工作文件\嘉峪关市生活垃圾分类可研\积分卡.jpg"/>
                    <pic:cNvPicPr>
                      <a:picLocks noChangeAspect="1" noChangeArrowheads="1"/>
                    </pic:cNvPicPr>
                  </pic:nvPicPr>
                  <pic:blipFill>
                    <a:blip r:embed="rId67" cstate="print"/>
                    <a:srcRect/>
                    <a:stretch>
                      <a:fillRect/>
                    </a:stretch>
                  </pic:blipFill>
                  <pic:spPr>
                    <a:xfrm>
                      <a:off x="0" y="0"/>
                      <a:ext cx="5005415" cy="3133084"/>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3）街道垃圾收集投放</w:t>
      </w:r>
    </w:p>
    <w:p>
      <w:pPr>
        <w:pStyle w:val="21"/>
        <w:spacing w:before="0" w:line="578" w:lineRule="exact"/>
        <w:ind w:firstLine="632" w:firstLineChars="200"/>
      </w:pPr>
      <w:r>
        <w:rPr>
          <w:rFonts w:hint="eastAsia" w:ascii="仿宋_GB2312" w:hAnsi="仿宋_GB2312" w:eastAsia="仿宋_GB2312" w:cs="仿宋_GB2312"/>
          <w:sz w:val="32"/>
          <w:szCs w:val="32"/>
        </w:rPr>
        <w:t>因2018年嘉峪关市环境卫生实行政府购买服务后，城市街道生活垃圾清扫、收运、处置工作由嘉峪关桑德环境科技有限公司承担，对未完全分类投放的垃圾运至分拣中心，进行二次分拣。</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4）垃圾清运</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区的餐饮店，由专门的餐厨垃圾收运车进行收运，直接送至餐厨垃圾处理场处理。普通商户，由4辆电动三轮车到户收运（电动三轮车上有四个垃圾桶，四分法），在二次四分法后，餐厨垃圾送至餐厨垃圾处理场处理，其他垃圾则运送至垃圾中转站，由压缩车进行收运处理。可回收垃圾和有毒有害垃圾则由保洁员负责储藏，定期由有有毒有害资质的公司负责收运。</w:t>
      </w:r>
    </w:p>
    <w:p>
      <w:pPr>
        <w:ind w:firstLine="632" w:firstLineChars="200"/>
        <w:rPr>
          <w:rFonts w:ascii="仿宋_GB2312" w:hAnsi="仿宋_GB2312" w:eastAsia="仿宋_GB2312" w:cs="仿宋_GB2312"/>
          <w:sz w:val="32"/>
          <w:szCs w:val="32"/>
        </w:rPr>
      </w:pPr>
    </w:p>
    <w:p>
      <w:pPr>
        <w:pStyle w:val="15"/>
        <w:widowControl/>
        <w:shd w:val="clear" w:color="auto" w:fill="FFFFFF"/>
        <w:spacing w:beforeAutospacing="0" w:afterAutospacing="0"/>
        <w:ind w:firstLine="482"/>
        <w:rPr>
          <w:rFonts w:ascii="宋体" w:hAnsi="宋体" w:cstheme="minorBidi"/>
          <w:b/>
          <w:bCs/>
          <w:kern w:val="2"/>
          <w:szCs w:val="24"/>
        </w:rPr>
      </w:pPr>
      <w:r>
        <w:rPr>
          <w:rFonts w:hint="eastAsia" w:ascii="宋体" w:hAnsi="宋体" w:cstheme="minorBidi"/>
          <w:b/>
          <w:bCs/>
          <w:kern w:val="2"/>
          <w:szCs w:val="24"/>
        </w:rPr>
        <w:drawing>
          <wp:inline distT="0" distB="0" distL="114300" distR="114300">
            <wp:extent cx="4779010" cy="2779395"/>
            <wp:effectExtent l="0" t="0" r="2540" b="1905"/>
            <wp:docPr id="69" name="图片 69" descr="餐厨垃圾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餐厨垃圾车"/>
                    <pic:cNvPicPr>
                      <a:picLocks noChangeAspect="1"/>
                    </pic:cNvPicPr>
                  </pic:nvPicPr>
                  <pic:blipFill>
                    <a:blip r:embed="rId73" cstate="print"/>
                    <a:stretch>
                      <a:fillRect/>
                    </a:stretch>
                  </pic:blipFill>
                  <pic:spPr>
                    <a:xfrm>
                      <a:off x="0" y="0"/>
                      <a:ext cx="4779010" cy="2779395"/>
                    </a:xfrm>
                    <a:prstGeom prst="rect">
                      <a:avLst/>
                    </a:prstGeom>
                  </pic:spPr>
                </pic:pic>
              </a:graphicData>
            </a:graphic>
          </wp:inline>
        </w:drawing>
      </w:r>
    </w:p>
    <w:p>
      <w:pPr>
        <w:ind w:firstLine="632" w:firstLineChars="200"/>
        <w:rPr>
          <w:rFonts w:ascii="仿宋_GB2312" w:hAnsi="仿宋_GB2312" w:eastAsia="仿宋_GB2312" w:cs="仿宋_GB2312"/>
          <w:sz w:val="32"/>
          <w:szCs w:val="32"/>
        </w:rPr>
      </w:pPr>
      <w:bookmarkStart w:id="687" w:name="_Toc13491_WPSOffice_Level2"/>
      <w:bookmarkStart w:id="688" w:name="_Toc31722_WPSOffice_Level2"/>
      <w:bookmarkStart w:id="689" w:name="_Toc8906_WPSOffice_Level3"/>
      <w:bookmarkStart w:id="690" w:name="_Toc15340_WPSOffice_Level2"/>
      <w:bookmarkStart w:id="691" w:name="_Toc9214_WPSOffice_Level2"/>
      <w:bookmarkStart w:id="692" w:name="_Toc16361_WPSOffice_Level2"/>
      <w:bookmarkStart w:id="693" w:name="_Toc17030_WPSOffice_Level2"/>
      <w:bookmarkStart w:id="694" w:name="_Toc24476_WPSOffice_Level3"/>
      <w:bookmarkStart w:id="695" w:name="_Toc521881757"/>
      <w:bookmarkStart w:id="696" w:name="_Toc519897824"/>
      <w:r>
        <w:rPr>
          <w:rFonts w:hint="eastAsia" w:ascii="仿宋_GB2312" w:hAnsi="仿宋_GB2312" w:eastAsia="仿宋_GB2312" w:cs="仿宋_GB2312"/>
          <w:sz w:val="32"/>
          <w:szCs w:val="32"/>
        </w:rPr>
        <w:t>（3）机关单位生活垃圾分类运营</w:t>
      </w:r>
      <w:bookmarkEnd w:id="687"/>
      <w:bookmarkEnd w:id="688"/>
      <w:bookmarkEnd w:id="689"/>
      <w:bookmarkEnd w:id="690"/>
      <w:bookmarkEnd w:id="691"/>
      <w:bookmarkEnd w:id="692"/>
      <w:bookmarkEnd w:id="693"/>
      <w:bookmarkEnd w:id="694"/>
      <w:bookmarkEnd w:id="695"/>
      <w:bookmarkEnd w:id="696"/>
    </w:p>
    <w:p>
      <w:pPr>
        <w:ind w:firstLine="632" w:firstLineChars="200"/>
        <w:rPr>
          <w:rFonts w:ascii="仿宋_GB2312" w:hAnsi="仿宋_GB2312" w:eastAsia="仿宋_GB2312" w:cs="仿宋_GB2312"/>
          <w:sz w:val="32"/>
          <w:szCs w:val="32"/>
        </w:rPr>
      </w:pPr>
      <w:bookmarkStart w:id="697" w:name="_Toc519897825"/>
      <w:r>
        <w:rPr>
          <w:rFonts w:hint="eastAsia" w:ascii="仿宋_GB2312" w:hAnsi="仿宋_GB2312" w:eastAsia="仿宋_GB2312" w:cs="仿宋_GB2312"/>
          <w:sz w:val="32"/>
          <w:szCs w:val="32"/>
        </w:rPr>
        <w:t>1）个人二维码获取</w:t>
      </w:r>
      <w:bookmarkEnd w:id="697"/>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配有智能垃圾回收箱的机关单位，个人可关注智能分类微信公众号，绑定微信，获取个人二维码（或领取积分卡片），该二维码可用于智能可回收分类箱的身份识别。</w:t>
      </w:r>
    </w:p>
    <w:p>
      <w:pPr>
        <w:ind w:firstLine="480"/>
        <w:jc w:val="center"/>
        <w:rPr>
          <w:rFonts w:ascii="宋体" w:hAnsi="宋体"/>
          <w:szCs w:val="24"/>
        </w:rPr>
      </w:pPr>
      <w:r>
        <w:rPr>
          <w:rFonts w:ascii="宋体" w:hAnsi="宋体"/>
          <w:szCs w:val="24"/>
        </w:rPr>
        <w:drawing>
          <wp:inline distT="0" distB="0" distL="0" distR="0">
            <wp:extent cx="3682365" cy="3274695"/>
            <wp:effectExtent l="0" t="0" r="13335" b="1905"/>
            <wp:docPr id="164" name="图片 12" descr="E:\工作文件\嘉峪关市生活垃圾分类可研\微信公众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2" descr="E:\工作文件\嘉峪关市生活垃圾分类可研\微信公众号.jpg"/>
                    <pic:cNvPicPr>
                      <a:picLocks noChangeAspect="1" noChangeArrowheads="1"/>
                    </pic:cNvPicPr>
                  </pic:nvPicPr>
                  <pic:blipFill>
                    <a:blip r:embed="rId74" cstate="print"/>
                    <a:srcRect/>
                    <a:stretch>
                      <a:fillRect/>
                    </a:stretch>
                  </pic:blipFill>
                  <pic:spPr>
                    <a:xfrm>
                      <a:off x="0" y="0"/>
                      <a:ext cx="3682534" cy="3274633"/>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sz w:val="32"/>
          <w:szCs w:val="32"/>
        </w:rPr>
      </w:pPr>
      <w:bookmarkStart w:id="698" w:name="_Toc519897826"/>
      <w:r>
        <w:rPr>
          <w:rFonts w:hint="eastAsia" w:ascii="仿宋_GB2312" w:hAnsi="仿宋_GB2312" w:eastAsia="仿宋_GB2312" w:cs="仿宋_GB2312"/>
          <w:sz w:val="32"/>
          <w:szCs w:val="32"/>
        </w:rPr>
        <w:t>2）垃圾清运</w:t>
      </w:r>
      <w:bookmarkEnd w:id="698"/>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机关单位实施垃圾分类后，分类好的生活垃圾分别为厨余垃圾、其他垃圾、可回收物、有害垃圾，其中，厨余垃圾、其他垃圾按照原有的清运方式，分类运输；可回收物为可卖垃圾，可以交由机关单位垃圾清运人员收集回收处理；有害垃圾由机关单位垃圾清运人员进行收集汇总，交由特殊回收企业进行无害化处理，并做好台账记录。</w:t>
      </w:r>
    </w:p>
    <w:p>
      <w:pPr>
        <w:ind w:firstLine="632" w:firstLineChars="200"/>
        <w:rPr>
          <w:rFonts w:ascii="仿宋_GB2312" w:hAnsi="仿宋_GB2312" w:eastAsia="仿宋_GB2312" w:cs="仿宋_GB2312"/>
          <w:sz w:val="32"/>
          <w:szCs w:val="32"/>
        </w:rPr>
      </w:pPr>
      <w:bookmarkStart w:id="699" w:name="_Toc4427_WPSOffice_Level2"/>
      <w:bookmarkStart w:id="700" w:name="_Toc519897829"/>
      <w:bookmarkStart w:id="701" w:name="_Toc22019_WPSOffice_Level3"/>
      <w:bookmarkStart w:id="702" w:name="_Toc7025_WPSOffice_Level2"/>
      <w:bookmarkStart w:id="703" w:name="_Toc13037_WPSOffice_Level3"/>
      <w:bookmarkStart w:id="704" w:name="_Toc521881758"/>
      <w:bookmarkStart w:id="705" w:name="_Toc2638_WPSOffice_Level2"/>
      <w:bookmarkStart w:id="706" w:name="_Toc7038_WPSOffice_Level2"/>
      <w:bookmarkStart w:id="707" w:name="_Toc8370_WPSOffice_Level2"/>
      <w:bookmarkStart w:id="708" w:name="_Toc7981_WPSOffice_Level2"/>
      <w:r>
        <w:rPr>
          <w:rFonts w:hint="eastAsia" w:ascii="仿宋_GB2312" w:hAnsi="仿宋_GB2312" w:eastAsia="仿宋_GB2312" w:cs="仿宋_GB2312"/>
          <w:sz w:val="32"/>
          <w:szCs w:val="32"/>
        </w:rPr>
        <w:t>（4）学校生活垃圾分类运营</w:t>
      </w:r>
      <w:bookmarkEnd w:id="699"/>
      <w:bookmarkEnd w:id="700"/>
      <w:bookmarkEnd w:id="701"/>
      <w:bookmarkEnd w:id="702"/>
      <w:bookmarkEnd w:id="703"/>
      <w:bookmarkEnd w:id="704"/>
      <w:bookmarkEnd w:id="705"/>
      <w:bookmarkEnd w:id="706"/>
      <w:bookmarkEnd w:id="707"/>
      <w:bookmarkEnd w:id="708"/>
    </w:p>
    <w:p>
      <w:pPr>
        <w:ind w:firstLine="632" w:firstLineChars="200"/>
        <w:rPr>
          <w:rFonts w:ascii="仿宋_GB2312" w:hAnsi="仿宋_GB2312" w:eastAsia="仿宋_GB2312" w:cs="仿宋_GB2312"/>
          <w:sz w:val="32"/>
          <w:szCs w:val="32"/>
        </w:rPr>
      </w:pPr>
      <w:bookmarkStart w:id="709" w:name="_Toc519897830"/>
      <w:r>
        <w:rPr>
          <w:rFonts w:hint="eastAsia" w:ascii="仿宋_GB2312" w:hAnsi="仿宋_GB2312" w:eastAsia="仿宋_GB2312" w:cs="仿宋_GB2312"/>
          <w:sz w:val="32"/>
          <w:szCs w:val="32"/>
        </w:rPr>
        <w:t>1）班级积分卡发放</w:t>
      </w:r>
      <w:bookmarkEnd w:id="709"/>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考虑到每年都有学生升学离开，因此，采用向每个班级发放一张智能积分卡，以班级的形式，积分评比和奖励。制作好的积分卡，由学校相关部门负责向各个班级发放。</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每个班级由当日卫生负责人负责投放垃圾。积分卡用于向智能可回收分类箱投递可回收物和其他垃圾时使用。投递可回收物和其他垃圾可获得积分，获取的积分可以兑换成学生可使用的物品，作为班级奖励进行发放。</w:t>
      </w:r>
    </w:p>
    <w:p>
      <w:pPr>
        <w:ind w:firstLine="632" w:firstLineChars="200"/>
        <w:rPr>
          <w:rFonts w:ascii="仿宋_GB2312" w:hAnsi="仿宋_GB2312" w:eastAsia="仿宋_GB2312" w:cs="仿宋_GB2312"/>
          <w:sz w:val="32"/>
          <w:szCs w:val="32"/>
        </w:rPr>
      </w:pPr>
      <w:bookmarkStart w:id="710" w:name="_Toc519897831"/>
      <w:r>
        <w:rPr>
          <w:rFonts w:hint="eastAsia" w:ascii="仿宋_GB2312" w:hAnsi="仿宋_GB2312" w:eastAsia="仿宋_GB2312" w:cs="仿宋_GB2312"/>
          <w:sz w:val="32"/>
          <w:szCs w:val="32"/>
        </w:rPr>
        <w:t>2）垃圾清运</w:t>
      </w:r>
      <w:bookmarkEnd w:id="710"/>
    </w:p>
    <w:p>
      <w:pPr>
        <w:ind w:firstLine="632" w:firstLineChars="200"/>
      </w:pPr>
      <w:r>
        <w:rPr>
          <w:rFonts w:hint="eastAsia" w:ascii="仿宋_GB2312" w:hAnsi="仿宋_GB2312" w:eastAsia="仿宋_GB2312" w:cs="仿宋_GB2312"/>
          <w:sz w:val="32"/>
          <w:szCs w:val="32"/>
        </w:rPr>
        <w:t>学校产生的生活垃圾分类后，分别为厨余垃圾、其他垃圾、可回收物、有害垃圾，其中，厨余垃圾、其他垃圾按照原有的清运方式，分类运输；可回收物为可卖垃圾，可以交由学校的垃圾清运人员自行回收处理；有害垃圾由学校垃圾清运人员进行收集汇总，交由特殊回收企业进行无害化处理，并做好台账记录。</w:t>
      </w:r>
    </w:p>
    <w:p>
      <w:pPr>
        <w:pStyle w:val="4"/>
        <w:spacing w:before="0" w:after="0" w:line="360" w:lineRule="auto"/>
        <w:ind w:firstLine="632" w:firstLineChars="200"/>
        <w:rPr>
          <w:rFonts w:ascii="黑体" w:hAnsi="黑体"/>
          <w:b w:val="0"/>
          <w:bCs/>
          <w:szCs w:val="32"/>
        </w:rPr>
      </w:pPr>
      <w:bookmarkStart w:id="711" w:name="_Toc7237_WPSOffice_Level1"/>
      <w:bookmarkStart w:id="712" w:name="_Toc6709_WPSOffice_Level2"/>
      <w:bookmarkStart w:id="713" w:name="_Toc1615_WPSOffice_Level2"/>
      <w:bookmarkStart w:id="714" w:name="_Toc519897843"/>
      <w:bookmarkStart w:id="715" w:name="_Toc16048_WPSOffice_Level1"/>
      <w:bookmarkStart w:id="716" w:name="_Toc1694_WPSOffice_Level3"/>
      <w:bookmarkStart w:id="717" w:name="_Toc21003_WPSOffice_Level1"/>
      <w:bookmarkStart w:id="718" w:name="_Toc27863_WPSOffice_Level1"/>
      <w:bookmarkStart w:id="719" w:name="_Toc7369_WPSOffice_Level2"/>
      <w:bookmarkStart w:id="720" w:name="_Toc32465_WPSOffice_Level3"/>
      <w:bookmarkStart w:id="721" w:name="_Toc26051_WPSOffice_Level1"/>
      <w:bookmarkStart w:id="722" w:name="_Toc3589_WPSOffice_Level3"/>
      <w:bookmarkStart w:id="723" w:name="_Toc521881761"/>
      <w:bookmarkStart w:id="724" w:name="_Toc30950_WPSOffice_Level1"/>
      <w:r>
        <w:rPr>
          <w:rFonts w:hint="eastAsia" w:ascii="黑体" w:hAnsi="黑体"/>
          <w:b w:val="0"/>
          <w:bCs/>
          <w:szCs w:val="32"/>
        </w:rPr>
        <w:t>6.3.8垃圾分类宣传</w:t>
      </w:r>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p>
    <w:p>
      <w:pPr>
        <w:ind w:firstLine="632" w:firstLineChars="200"/>
        <w:rPr>
          <w:rFonts w:ascii="仿宋_GB2312" w:hAnsi="仿宋_GB2312" w:eastAsia="仿宋_GB2312" w:cs="仿宋_GB2312"/>
          <w:sz w:val="32"/>
          <w:szCs w:val="32"/>
        </w:rPr>
      </w:pPr>
      <w:bookmarkStart w:id="725" w:name="_Toc28066_WPSOffice_Level2"/>
      <w:bookmarkStart w:id="726" w:name="_Toc7628_WPSOffice_Level3"/>
      <w:bookmarkStart w:id="727" w:name="_Toc18346_WPSOffice_Level2"/>
      <w:bookmarkStart w:id="728" w:name="_Toc17024_WPSOffice_Level2"/>
      <w:bookmarkStart w:id="729" w:name="_Toc27631_WPSOffice_Level3"/>
      <w:bookmarkStart w:id="730" w:name="_Toc22788_WPSOffice_Level2"/>
      <w:bookmarkStart w:id="731" w:name="_Toc5538_WPSOffice_Level2"/>
      <w:bookmarkStart w:id="732" w:name="_Toc521881762"/>
      <w:bookmarkStart w:id="733" w:name="_Toc26659_WPSOffice_Level2"/>
      <w:bookmarkStart w:id="734" w:name="_Toc519897844"/>
      <w:r>
        <w:rPr>
          <w:rFonts w:hint="eastAsia" w:ascii="仿宋_GB2312" w:hAnsi="仿宋_GB2312" w:eastAsia="仿宋_GB2312" w:cs="仿宋_GB2312"/>
          <w:sz w:val="32"/>
          <w:szCs w:val="32"/>
        </w:rPr>
        <w:t>（1）小区垃圾分类宣传</w:t>
      </w:r>
      <w:bookmarkEnd w:id="725"/>
      <w:bookmarkEnd w:id="726"/>
      <w:bookmarkEnd w:id="727"/>
      <w:bookmarkEnd w:id="728"/>
      <w:bookmarkEnd w:id="729"/>
      <w:bookmarkEnd w:id="730"/>
      <w:bookmarkEnd w:id="731"/>
      <w:bookmarkEnd w:id="732"/>
      <w:bookmarkEnd w:id="733"/>
      <w:bookmarkEnd w:id="734"/>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小区垃圾分类宣传可交由第三方服务公司负责完成，物业和小区街道主管部门协助完成。小区垃圾分类宣传途径有：</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1）宣传折页/宣传手册</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印制小区垃圾分类宣传折页，让小区居民了解垃圾分类、怎么参与垃圾分类、参与垃圾分类有什么好处等。宣传折页采取上门一对一发放，由上门发放人员（最好是物业或街道相关政府工作人员，效果更好）进行知识宣讲、政策解读，宣传折页如下所示：</w:t>
      </w:r>
    </w:p>
    <w:p>
      <w:pPr>
        <w:jc w:val="center"/>
        <w:rPr>
          <w:rFonts w:ascii="宋体" w:hAnsi="宋体" w:eastAsia="宋体" w:cs="Times New Roman"/>
          <w:szCs w:val="24"/>
        </w:rPr>
      </w:pPr>
      <w:r>
        <w:rPr>
          <w:rFonts w:ascii="宋体" w:hAnsi="宋体" w:eastAsia="宋体" w:cs="Times New Roman"/>
          <w:szCs w:val="24"/>
        </w:rPr>
        <w:drawing>
          <wp:inline distT="0" distB="0" distL="0" distR="0">
            <wp:extent cx="4845685" cy="3424555"/>
            <wp:effectExtent l="0" t="0" r="12065" b="4445"/>
            <wp:docPr id="165" name="图片 2" descr="C:\Users\xiangbin\AppData\Local\Temp\WeChat Files\c7f2e60dd51a21fef3b3703ddf2df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 descr="C:\Users\xiangbin\AppData\Local\Temp\WeChat Files\c7f2e60dd51a21fef3b3703ddf2df17.png"/>
                    <pic:cNvPicPr>
                      <a:picLocks noChangeAspect="1" noChangeArrowheads="1"/>
                    </pic:cNvPicPr>
                  </pic:nvPicPr>
                  <pic:blipFill>
                    <a:blip r:embed="rId75" cstate="print"/>
                    <a:srcRect/>
                    <a:stretch>
                      <a:fillRect/>
                    </a:stretch>
                  </pic:blipFill>
                  <pic:spPr>
                    <a:xfrm>
                      <a:off x="0" y="0"/>
                      <a:ext cx="4855340" cy="3431255"/>
                    </a:xfrm>
                    <a:prstGeom prst="rect">
                      <a:avLst/>
                    </a:prstGeom>
                    <a:noFill/>
                    <a:ln w="9525">
                      <a:noFill/>
                      <a:miter lim="800000"/>
                      <a:headEnd/>
                      <a:tailEnd/>
                    </a:ln>
                  </pic:spPr>
                </pic:pic>
              </a:graphicData>
            </a:graphic>
          </wp:inline>
        </w:drawing>
      </w:r>
    </w:p>
    <w:p>
      <w:pPr>
        <w:jc w:val="center"/>
        <w:rPr>
          <w:rFonts w:ascii="宋体" w:hAnsi="宋体" w:eastAsia="宋体" w:cs="Times New Roman"/>
          <w:szCs w:val="24"/>
        </w:rPr>
      </w:pP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2）宣传栏和宣传视频宣传</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在小区中心区域竖立垃圾分类宣传栏等，通过海报、垃圾分类宣传视频、横幅等形式，宣传垃圾分类知识和垃圾分类激励政策。小区宣传栏和宣传视频设备如下所示：</w:t>
      </w:r>
    </w:p>
    <w:p>
      <w:pPr>
        <w:ind w:firstLine="480"/>
        <w:jc w:val="center"/>
        <w:rPr>
          <w:rFonts w:ascii="宋体" w:hAnsi="宋体"/>
          <w:szCs w:val="24"/>
        </w:rPr>
      </w:pPr>
      <w:r>
        <w:rPr>
          <w:rFonts w:ascii="宋体" w:hAnsi="宋体"/>
          <w:szCs w:val="24"/>
        </w:rPr>
        <w:drawing>
          <wp:inline distT="0" distB="0" distL="0" distR="0">
            <wp:extent cx="4507865" cy="2981325"/>
            <wp:effectExtent l="0" t="0" r="6985" b="9525"/>
            <wp:docPr id="1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pic:cNvPicPr>
                      <a:picLocks noChangeAspect="1" noChangeArrowheads="1"/>
                    </pic:cNvPicPr>
                  </pic:nvPicPr>
                  <pic:blipFill>
                    <a:blip r:embed="rId76" cstate="print"/>
                    <a:srcRect t="7132" b="4992"/>
                    <a:stretch>
                      <a:fillRect/>
                    </a:stretch>
                  </pic:blipFill>
                  <pic:spPr>
                    <a:xfrm>
                      <a:off x="0" y="0"/>
                      <a:ext cx="4516100" cy="2986498"/>
                    </a:xfrm>
                    <a:prstGeom prst="rect">
                      <a:avLst/>
                    </a:prstGeom>
                    <a:noFill/>
                    <a:ln w="9525">
                      <a:noFill/>
                      <a:miter lim="800000"/>
                      <a:headEnd/>
                      <a:tailEnd/>
                    </a:ln>
                  </pic:spPr>
                </pic:pic>
              </a:graphicData>
            </a:graphic>
          </wp:inline>
        </w:drawing>
      </w:r>
      <w:r>
        <w:rPr>
          <w:rFonts w:ascii="宋体" w:hAnsi="宋体"/>
          <w:szCs w:val="24"/>
        </w:rPr>
        <w:drawing>
          <wp:inline distT="0" distB="0" distL="0" distR="0">
            <wp:extent cx="4325620" cy="2362200"/>
            <wp:effectExtent l="0" t="0" r="17780" b="0"/>
            <wp:docPr id="4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1"/>
                    <pic:cNvPicPr>
                      <a:picLocks noChangeAspect="1" noChangeArrowheads="1"/>
                    </pic:cNvPicPr>
                  </pic:nvPicPr>
                  <pic:blipFill>
                    <a:blip r:embed="rId77" cstate="print"/>
                    <a:srcRect l="10421" t="3971" r="11842" b="24618"/>
                    <a:stretch>
                      <a:fillRect/>
                    </a:stretch>
                  </pic:blipFill>
                  <pic:spPr>
                    <a:xfrm>
                      <a:off x="0" y="0"/>
                      <a:ext cx="4325620" cy="2362200"/>
                    </a:xfrm>
                    <a:prstGeom prst="rect">
                      <a:avLst/>
                    </a:prstGeom>
                    <a:noFill/>
                    <a:ln w="9525">
                      <a:noFill/>
                      <a:miter lim="800000"/>
                      <a:headEnd/>
                      <a:tailEnd/>
                    </a:ln>
                  </pic:spPr>
                </pic:pic>
              </a:graphicData>
            </a:graphic>
          </wp:inline>
        </w:drawing>
      </w:r>
    </w:p>
    <w:p>
      <w:pPr>
        <w:ind w:firstLine="480"/>
        <w:rPr>
          <w:rFonts w:ascii="宋体" w:hAnsi="宋体"/>
          <w:szCs w:val="24"/>
        </w:rPr>
      </w:pPr>
      <w:r>
        <w:rPr>
          <w:rFonts w:hint="eastAsia" w:ascii="宋体" w:hAnsi="宋体"/>
          <w:szCs w:val="24"/>
        </w:rPr>
        <w:t xml:space="preserve">  </w:t>
      </w:r>
    </w:p>
    <w:p>
      <w:pPr>
        <w:jc w:val="center"/>
        <w:rPr>
          <w:rFonts w:ascii="宋体" w:hAnsi="宋体"/>
          <w:szCs w:val="24"/>
        </w:rPr>
      </w:pPr>
    </w:p>
    <w:p>
      <w:pPr>
        <w:jc w:val="center"/>
        <w:rPr>
          <w:rFonts w:ascii="宋体" w:hAnsi="宋体"/>
          <w:szCs w:val="24"/>
        </w:rPr>
      </w:pPr>
      <w:r>
        <w:rPr>
          <w:rFonts w:hint="eastAsia" w:ascii="宋体" w:hAnsi="宋体"/>
          <w:szCs w:val="24"/>
        </w:rPr>
        <w:drawing>
          <wp:inline distT="0" distB="0" distL="114300" distR="114300">
            <wp:extent cx="4137025" cy="5517515"/>
            <wp:effectExtent l="0" t="0" r="15875" b="6985"/>
            <wp:docPr id="167" name="图片 167" descr="小区宣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小区宣传1"/>
                    <pic:cNvPicPr>
                      <a:picLocks noChangeAspect="1"/>
                    </pic:cNvPicPr>
                  </pic:nvPicPr>
                  <pic:blipFill>
                    <a:blip r:embed="rId78" cstate="print"/>
                    <a:stretch>
                      <a:fillRect/>
                    </a:stretch>
                  </pic:blipFill>
                  <pic:spPr>
                    <a:xfrm>
                      <a:off x="0" y="0"/>
                      <a:ext cx="4137025" cy="5517515"/>
                    </a:xfrm>
                    <a:prstGeom prst="rect">
                      <a:avLst/>
                    </a:prstGeom>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3）活动宣传</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三方运维服务公司负责举办的垃圾分类活动尤为重要，特别是垃圾分类前期，居民垃圾分类知识缺乏和垃圾分类意识薄弱的情况下，可多次举办相关活动（如以知识问答、游戏互动等形式开展），形成口碑传播，让居民了解垃圾分类、参与垃圾分类，逐步养成垃圾分类的习惯。</w:t>
      </w:r>
    </w:p>
    <w:p>
      <w:pPr>
        <w:jc w:val="center"/>
        <w:rPr>
          <w:rFonts w:ascii="宋体" w:hAnsi="宋体"/>
          <w:szCs w:val="24"/>
        </w:rPr>
      </w:pPr>
      <w:r>
        <w:rPr>
          <w:rFonts w:ascii="宋体" w:hAnsi="宋体"/>
          <w:szCs w:val="24"/>
        </w:rPr>
        <w:drawing>
          <wp:inline distT="0" distB="0" distL="0" distR="0">
            <wp:extent cx="4600575" cy="3001645"/>
            <wp:effectExtent l="0" t="0" r="9525" b="8255"/>
            <wp:docPr id="1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6"/>
                    <pic:cNvPicPr>
                      <a:picLocks noChangeAspect="1" noChangeArrowheads="1"/>
                    </pic:cNvPicPr>
                  </pic:nvPicPr>
                  <pic:blipFill>
                    <a:blip r:embed="rId69" cstate="print"/>
                    <a:srcRect/>
                    <a:stretch>
                      <a:fillRect/>
                    </a:stretch>
                  </pic:blipFill>
                  <pic:spPr>
                    <a:xfrm>
                      <a:off x="0" y="0"/>
                      <a:ext cx="4607363" cy="3006707"/>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4）积分兑换宣传</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将积分兑换机放置在小区中心区域，让居民真实感受到垃圾分类激励是真实的，积分兑换商品，激励和培养居民垃圾分类习惯。积分兑换机如下图所示：</w:t>
      </w:r>
    </w:p>
    <w:p>
      <w:pPr>
        <w:ind w:firstLine="480"/>
        <w:jc w:val="center"/>
        <w:rPr>
          <w:rFonts w:ascii="宋体" w:hAnsi="宋体"/>
          <w:szCs w:val="24"/>
        </w:rPr>
      </w:pPr>
      <w:r>
        <w:rPr>
          <w:rFonts w:ascii="宋体" w:hAnsi="宋体"/>
          <w:szCs w:val="24"/>
        </w:rPr>
        <w:drawing>
          <wp:inline distT="0" distB="0" distL="0" distR="0">
            <wp:extent cx="2962275" cy="2428240"/>
            <wp:effectExtent l="0" t="0" r="9525" b="10160"/>
            <wp:docPr id="16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961933" cy="2428405"/>
                    </a:xfrm>
                    <a:prstGeom prst="rect">
                      <a:avLst/>
                    </a:prstGeom>
                    <a:noFill/>
                    <a:ln>
                      <a:noFill/>
                    </a:ln>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5）互联网宣传手段</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第三方运营公司可运营专门的垃圾分类微信公众号，通过有奖活动、微信小程序等方式吸引居民关注，通过活动的方式引导居民进行垃圾分类。</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6）小手拉大手宣传活动</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因为孩子的行为模式容易受老师的引导，通过学校给孩子们宣传垃圾分类，给孩子布置垃圾分类方面的家庭作业，要求家长和孩子一起参与垃圾分类，并反馈给老师，一方面孩子会养成垃圾分类的好习惯，另外一方面通过孩子来影响家长的垃圾分类习惯。</w:t>
      </w:r>
    </w:p>
    <w:p>
      <w:pPr>
        <w:ind w:firstLine="632" w:firstLineChars="200"/>
        <w:rPr>
          <w:rFonts w:ascii="仿宋_GB2312" w:hAnsi="仿宋_GB2312" w:eastAsia="仿宋_GB2312" w:cs="仿宋_GB2312"/>
          <w:sz w:val="32"/>
          <w:szCs w:val="32"/>
        </w:rPr>
      </w:pPr>
      <w:bookmarkStart w:id="735" w:name="_Toc521881763"/>
      <w:bookmarkStart w:id="736" w:name="_Toc25750_WPSOffice_Level2"/>
      <w:bookmarkStart w:id="737" w:name="_Toc22105_WPSOffice_Level2"/>
      <w:bookmarkStart w:id="738" w:name="_Toc519897845"/>
      <w:bookmarkStart w:id="739" w:name="_Toc8123_WPSOffice_Level2"/>
      <w:bookmarkStart w:id="740" w:name="_Toc868_WPSOffice_Level2"/>
      <w:bookmarkStart w:id="741" w:name="_Toc22211_WPSOffice_Level2"/>
      <w:bookmarkStart w:id="742" w:name="_Toc20497_WPSOffice_Level2"/>
      <w:r>
        <w:rPr>
          <w:rFonts w:hint="eastAsia" w:ascii="仿宋_GB2312" w:hAnsi="仿宋_GB2312" w:eastAsia="仿宋_GB2312" w:cs="仿宋_GB2312"/>
          <w:sz w:val="32"/>
          <w:szCs w:val="32"/>
        </w:rPr>
        <w:t>（2）机关单位垃圾分类宣传</w:t>
      </w:r>
      <w:bookmarkEnd w:id="735"/>
      <w:bookmarkEnd w:id="736"/>
      <w:bookmarkEnd w:id="737"/>
      <w:bookmarkEnd w:id="738"/>
      <w:bookmarkEnd w:id="739"/>
      <w:bookmarkEnd w:id="740"/>
      <w:bookmarkEnd w:id="741"/>
      <w:bookmarkEnd w:id="742"/>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机关单位作为政府部门，积极开展实施垃圾分类有利于展示政府形象，起到模范带头作用。机关单位垃圾分类宣传可采取以下方式：</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1）机关单位垃圾分类动员大会</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机关单位领导班子成员负责组织本单位的垃圾分类动员大会，宣导垃圾分类倡议，公布激励政策、奖惩政策等，垃圾分类纳入个人考核。</w:t>
      </w:r>
    </w:p>
    <w:p>
      <w:pPr>
        <w:jc w:val="center"/>
        <w:rPr>
          <w:rFonts w:ascii="宋体" w:hAnsi="宋体" w:eastAsia="宋体" w:cs="Times New Roman"/>
          <w:szCs w:val="24"/>
        </w:rPr>
      </w:pPr>
      <w:r>
        <w:rPr>
          <w:rFonts w:ascii="宋体" w:hAnsi="宋体" w:eastAsia="宋体" w:cs="Times New Roman"/>
          <w:szCs w:val="24"/>
        </w:rPr>
        <w:drawing>
          <wp:inline distT="0" distB="0" distL="0" distR="0">
            <wp:extent cx="4733925" cy="2679700"/>
            <wp:effectExtent l="0" t="0" r="9525" b="6350"/>
            <wp:docPr id="1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5"/>
                    <pic:cNvPicPr>
                      <a:picLocks noChangeAspect="1" noChangeArrowheads="1"/>
                    </pic:cNvPicPr>
                  </pic:nvPicPr>
                  <pic:blipFill>
                    <a:blip r:embed="rId79" cstate="print"/>
                    <a:srcRect r="1397"/>
                    <a:stretch>
                      <a:fillRect/>
                    </a:stretch>
                  </pic:blipFill>
                  <pic:spPr>
                    <a:xfrm>
                      <a:off x="0" y="0"/>
                      <a:ext cx="4745453" cy="2686441"/>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2）垃圾分类宣传板/垃圾分类宣传栏</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机关单位内部楼道设立垃圾分类宣传板/宣传栏，引导机关单位工作人员正确分类。</w:t>
      </w:r>
    </w:p>
    <w:p>
      <w:pPr>
        <w:ind w:firstLine="480"/>
        <w:jc w:val="center"/>
        <w:rPr>
          <w:rFonts w:ascii="宋体" w:hAnsi="宋体"/>
          <w:szCs w:val="24"/>
        </w:rPr>
      </w:pPr>
      <w:r>
        <w:rPr>
          <w:rFonts w:ascii="宋体" w:hAnsi="宋体"/>
          <w:szCs w:val="24"/>
        </w:rPr>
        <w:drawing>
          <wp:inline distT="0" distB="0" distL="0" distR="0">
            <wp:extent cx="5144770" cy="2476500"/>
            <wp:effectExtent l="0" t="0" r="17780" b="0"/>
            <wp:docPr id="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8"/>
                    <pic:cNvPicPr>
                      <a:picLocks noChangeAspect="1" noChangeArrowheads="1"/>
                    </pic:cNvPicPr>
                  </pic:nvPicPr>
                  <pic:blipFill>
                    <a:blip r:embed="rId80" cstate="print"/>
                    <a:srcRect l="1245" r="1245"/>
                    <a:stretch>
                      <a:fillRect/>
                    </a:stretch>
                  </pic:blipFill>
                  <pic:spPr>
                    <a:xfrm>
                      <a:off x="0" y="0"/>
                      <a:ext cx="5144947" cy="2476500"/>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3）垃圾分类红黑榜</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机关单位每月根据分类积分的好坏情况，制定垃圾分类的红黑榜，分类好的个人上绿色标签，一般的个人在黄色标签，分类较差的个人放在红色标签，通过先进带动后进，共同将垃圾分类工作做好。好坏的比例按照积分的前20%，中间的60%，最后的20%来区分。</w:t>
      </w:r>
    </w:p>
    <w:p>
      <w:pPr>
        <w:ind w:firstLine="632" w:firstLineChars="200"/>
        <w:rPr>
          <w:rFonts w:ascii="仿宋_GB2312" w:hAnsi="仿宋_GB2312" w:eastAsia="仿宋_GB2312" w:cs="仿宋_GB2312"/>
          <w:sz w:val="32"/>
          <w:szCs w:val="32"/>
        </w:rPr>
      </w:pPr>
      <w:bookmarkStart w:id="743" w:name="_Toc22704_WPSOffice_Level2"/>
      <w:bookmarkStart w:id="744" w:name="_Toc519897846"/>
      <w:bookmarkStart w:id="745" w:name="_Toc8135_WPSOffice_Level2"/>
      <w:bookmarkStart w:id="746" w:name="_Toc28801_WPSOffice_Level2"/>
      <w:bookmarkStart w:id="747" w:name="_Toc521881764"/>
      <w:bookmarkStart w:id="748" w:name="_Toc16869_WPSOffice_Level2"/>
      <w:bookmarkStart w:id="749" w:name="_Toc12869_WPSOffice_Level2"/>
      <w:bookmarkStart w:id="750" w:name="_Toc2574_WPSOffice_Level2"/>
      <w:r>
        <w:rPr>
          <w:rFonts w:hint="eastAsia" w:ascii="仿宋_GB2312" w:hAnsi="仿宋_GB2312" w:eastAsia="仿宋_GB2312" w:cs="仿宋_GB2312"/>
          <w:sz w:val="32"/>
          <w:szCs w:val="32"/>
        </w:rPr>
        <w:t>（3）学校垃圾分类宣传</w:t>
      </w:r>
      <w:bookmarkEnd w:id="743"/>
      <w:bookmarkEnd w:id="744"/>
      <w:bookmarkEnd w:id="745"/>
      <w:bookmarkEnd w:id="746"/>
      <w:bookmarkEnd w:id="747"/>
      <w:bookmarkEnd w:id="748"/>
      <w:bookmarkEnd w:id="749"/>
      <w:bookmarkEnd w:id="750"/>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学校作为重要的教育场所，可通过积极的垃圾分类宣传，培养学生养成良好的垃圾分类习惯，同时还可以引导家长积极参与垃圾分类。学校垃圾分类宣传可采取以下方式：</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1）垃圾分类宣传册</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将垃圾分类宣传手册分发到每个学生手上，快速导入垃圾分类的概念。</w:t>
      </w:r>
    </w:p>
    <w:p>
      <w:pPr>
        <w:pStyle w:val="22"/>
        <w:ind w:left="617" w:hanging="618" w:hangingChars="300"/>
        <w:jc w:val="center"/>
        <w:rPr>
          <w:rFonts w:ascii="宋体" w:hAnsi="宋体"/>
          <w:szCs w:val="24"/>
        </w:rPr>
      </w:pPr>
      <w:r>
        <w:rPr>
          <w:rFonts w:ascii="宋体" w:hAnsi="宋体"/>
          <w:szCs w:val="24"/>
        </w:rPr>
        <w:drawing>
          <wp:inline distT="0" distB="0" distL="0" distR="0">
            <wp:extent cx="3790950" cy="2839720"/>
            <wp:effectExtent l="0" t="0" r="0" b="17780"/>
            <wp:docPr id="17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47"/>
                    <pic:cNvPicPr>
                      <a:picLocks noChangeAspect="1" noChangeArrowheads="1"/>
                    </pic:cNvPicPr>
                  </pic:nvPicPr>
                  <pic:blipFill>
                    <a:blip r:embed="rId81" cstate="print"/>
                    <a:srcRect/>
                    <a:stretch>
                      <a:fillRect/>
                    </a:stretch>
                  </pic:blipFill>
                  <pic:spPr>
                    <a:xfrm>
                      <a:off x="0" y="0"/>
                      <a:ext cx="3790950" cy="2839749"/>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2）宣传栏</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设置垃圾分类宣传栏，通过海报、垃圾分类宣传视频、横幅等形式，宣传垃圾分类知识。</w:t>
      </w:r>
    </w:p>
    <w:p>
      <w:pPr>
        <w:pStyle w:val="22"/>
        <w:ind w:left="617" w:hanging="618" w:hangingChars="300"/>
        <w:jc w:val="center"/>
        <w:rPr>
          <w:rFonts w:ascii="宋体" w:hAnsi="宋体"/>
          <w:szCs w:val="24"/>
        </w:rPr>
      </w:pPr>
      <w:r>
        <w:rPr>
          <w:rFonts w:ascii="宋体" w:hAnsi="宋体"/>
          <w:szCs w:val="24"/>
        </w:rPr>
        <w:drawing>
          <wp:inline distT="0" distB="0" distL="0" distR="0">
            <wp:extent cx="4081145" cy="2600325"/>
            <wp:effectExtent l="0" t="0" r="14605" b="9525"/>
            <wp:docPr id="17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3"/>
                    <pic:cNvPicPr>
                      <a:picLocks noChangeAspect="1" noChangeArrowheads="1"/>
                    </pic:cNvPicPr>
                  </pic:nvPicPr>
                  <pic:blipFill>
                    <a:blip r:embed="rId82" cstate="print"/>
                    <a:srcRect l="1266"/>
                    <a:stretch>
                      <a:fillRect/>
                    </a:stretch>
                  </pic:blipFill>
                  <pic:spPr>
                    <a:xfrm>
                      <a:off x="0" y="0"/>
                      <a:ext cx="4081628" cy="2600325"/>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3）学校垃圾分类动员大会</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由学校校长召开全校的垃圾分类动员大会，阐明垃圾分类的意义，制定各班级垃圾分类评比的活动，如先进垃圾分类班级，先进班主任等评比活动。</w:t>
      </w:r>
    </w:p>
    <w:p>
      <w:pPr>
        <w:pStyle w:val="22"/>
        <w:ind w:left="617" w:hanging="618" w:hangingChars="300"/>
        <w:jc w:val="center"/>
        <w:rPr>
          <w:rFonts w:ascii="宋体" w:hAnsi="宋体"/>
          <w:szCs w:val="24"/>
        </w:rPr>
      </w:pPr>
      <w:r>
        <w:rPr>
          <w:rFonts w:ascii="宋体" w:hAnsi="宋体"/>
          <w:szCs w:val="24"/>
        </w:rPr>
        <w:drawing>
          <wp:inline distT="0" distB="0" distL="0" distR="0">
            <wp:extent cx="4743450" cy="2792095"/>
            <wp:effectExtent l="0" t="0" r="0" b="8255"/>
            <wp:docPr id="17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50"/>
                    <pic:cNvPicPr>
                      <a:picLocks noChangeAspect="1" noChangeArrowheads="1"/>
                    </pic:cNvPicPr>
                  </pic:nvPicPr>
                  <pic:blipFill>
                    <a:blip r:embed="rId83" cstate="print"/>
                    <a:srcRect/>
                    <a:stretch>
                      <a:fillRect/>
                    </a:stretch>
                  </pic:blipFill>
                  <pic:spPr>
                    <a:xfrm>
                      <a:off x="0" y="0"/>
                      <a:ext cx="4743411" cy="2792572"/>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4）各班级垃圾分类积分评比</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学校开展垃圾分类积分评比，以班级为单位，由各班班主任向学生宣传如何进行垃圾分类和垃圾分类的意义，以及垃圾分类对于班级评先进的重要意义等，引导和鼓励学生做好垃圾分类投放。</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5）小手拉大手</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由各班主任给学生布置垃圾分类的家庭作业，如垃圾分类问答题等，让学生家长一起参与垃圾分类。</w:t>
      </w:r>
    </w:p>
    <w:p>
      <w:pPr>
        <w:pStyle w:val="22"/>
        <w:ind w:left="617" w:hanging="618" w:hangingChars="300"/>
        <w:jc w:val="center"/>
        <w:rPr>
          <w:rFonts w:ascii="宋体" w:hAnsi="宋体"/>
          <w:szCs w:val="24"/>
        </w:rPr>
      </w:pPr>
      <w:r>
        <w:rPr>
          <w:rFonts w:hint="eastAsia" w:ascii="宋体" w:hAnsi="宋体"/>
          <w:szCs w:val="24"/>
        </w:rPr>
        <w:drawing>
          <wp:inline distT="0" distB="0" distL="0" distR="0">
            <wp:extent cx="3888105" cy="2457450"/>
            <wp:effectExtent l="0" t="0" r="17145" b="0"/>
            <wp:docPr id="17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56"/>
                    <pic:cNvPicPr>
                      <a:picLocks noChangeAspect="1" noChangeArrowheads="1"/>
                    </pic:cNvPicPr>
                  </pic:nvPicPr>
                  <pic:blipFill>
                    <a:blip r:embed="rId84" cstate="print"/>
                    <a:srcRect t="3277" r="1448" b="2185"/>
                    <a:stretch>
                      <a:fillRect/>
                    </a:stretch>
                  </pic:blipFill>
                  <pic:spPr>
                    <a:xfrm>
                      <a:off x="0" y="0"/>
                      <a:ext cx="3890963" cy="2458938"/>
                    </a:xfrm>
                    <a:prstGeom prst="rect">
                      <a:avLst/>
                    </a:prstGeom>
                    <a:noFill/>
                    <a:ln w="9525">
                      <a:noFill/>
                      <a:miter lim="800000"/>
                      <a:headEnd/>
                      <a:tailEnd/>
                    </a:ln>
                  </pic:spPr>
                </pic:pic>
              </a:graphicData>
            </a:graphic>
          </wp:inline>
        </w:drawing>
      </w:r>
    </w:p>
    <w:bookmarkEnd w:id="561"/>
    <w:bookmarkEnd w:id="562"/>
    <w:p>
      <w:pPr>
        <w:rPr>
          <w:rFonts w:ascii="仿宋_GB2312" w:hAnsi="仿宋_GB2312" w:eastAsia="仿宋_GB2312" w:cs="仿宋_GB2312"/>
          <w:sz w:val="32"/>
          <w:szCs w:val="32"/>
        </w:rPr>
      </w:pPr>
    </w:p>
    <w:bookmarkEnd w:id="463"/>
    <w:p>
      <w:pPr>
        <w:rPr>
          <w:rFonts w:ascii="仿宋_GB2312" w:hAnsi="仿宋_GB2312" w:eastAsia="仿宋_GB2312" w:cs="仿宋_GB2312"/>
          <w:sz w:val="32"/>
          <w:szCs w:val="32"/>
        </w:rPr>
      </w:pPr>
      <w:bookmarkStart w:id="751" w:name="_Toc18928_WPSOffice_Level2"/>
      <w:bookmarkStart w:id="752" w:name="_Toc4448_WPSOffice_Level3"/>
      <w:bookmarkStart w:id="753" w:name="_Toc26884_WPSOffice_Level3"/>
      <w:bookmarkStart w:id="754" w:name="_Toc28186_WPSOffice_Level2"/>
      <w:bookmarkStart w:id="755" w:name="_Toc4225_WPSOffice_Level2"/>
      <w:bookmarkStart w:id="756" w:name="_Toc26377_WPSOffice_Level1"/>
      <w:bookmarkStart w:id="757" w:name="_Toc11173_WPSOffice_Level1"/>
      <w:bookmarkStart w:id="758" w:name="_Toc27210_WPSOffice_Level1"/>
      <w:bookmarkStart w:id="759" w:name="_Toc32721_WPSOffice_Level1"/>
      <w:bookmarkStart w:id="760" w:name="_Toc14229_WPSOffice_Level1"/>
      <w:bookmarkStart w:id="761" w:name="_Toc9112_WPSOffice_Level1"/>
    </w:p>
    <w:p>
      <w:pPr>
        <w:pStyle w:val="2"/>
        <w:numPr>
          <w:ilvl w:val="3"/>
          <w:numId w:val="0"/>
        </w:numPr>
        <w:rPr>
          <w:rFonts w:ascii="仿宋_GB2312" w:hAnsi="仿宋_GB2312" w:eastAsia="仿宋_GB2312" w:cs="仿宋_GB2312"/>
          <w:sz w:val="32"/>
          <w:szCs w:val="32"/>
          <w:lang w:val="en-US"/>
        </w:rPr>
      </w:pPr>
    </w:p>
    <w:p/>
    <w:p>
      <w:pPr>
        <w:rPr>
          <w:rFonts w:ascii="仿宋_GB2312" w:hAnsi="仿宋_GB2312" w:eastAsia="仿宋_GB2312" w:cs="仿宋_GB2312"/>
          <w:sz w:val="32"/>
          <w:szCs w:val="32"/>
        </w:rPr>
      </w:pPr>
    </w:p>
    <w:p>
      <w:pPr>
        <w:pStyle w:val="3"/>
        <w:spacing w:beforeLines="100" w:afterLines="100" w:line="578" w:lineRule="exact"/>
        <w:jc w:val="center"/>
        <w:rPr>
          <w:rFonts w:ascii="宋体" w:hAnsi="宋体" w:eastAsia="宋体" w:cs="宋体"/>
          <w:sz w:val="36"/>
          <w:szCs w:val="36"/>
        </w:rPr>
      </w:pPr>
      <w:bookmarkStart w:id="762" w:name="_Toc6982_WPSOffice_Level1"/>
      <w:r>
        <w:rPr>
          <w:rFonts w:hint="eastAsia" w:ascii="宋体" w:hAnsi="宋体" w:eastAsia="宋体" w:cs="宋体"/>
          <w:sz w:val="36"/>
          <w:szCs w:val="36"/>
        </w:rPr>
        <w:t>第七章  分拣中心</w:t>
      </w:r>
      <w:bookmarkEnd w:id="751"/>
      <w:bookmarkEnd w:id="752"/>
      <w:bookmarkEnd w:id="753"/>
      <w:bookmarkEnd w:id="754"/>
      <w:bookmarkEnd w:id="755"/>
      <w:r>
        <w:rPr>
          <w:rFonts w:hint="eastAsia" w:ascii="宋体" w:hAnsi="宋体" w:eastAsia="宋体" w:cs="宋体"/>
          <w:sz w:val="36"/>
          <w:szCs w:val="36"/>
        </w:rPr>
        <w:t>建设方案</w:t>
      </w:r>
      <w:bookmarkEnd w:id="762"/>
    </w:p>
    <w:p>
      <w:pPr>
        <w:pStyle w:val="4"/>
        <w:spacing w:before="0" w:after="0" w:line="240" w:lineRule="auto"/>
        <w:ind w:firstLine="632" w:firstLineChars="200"/>
        <w:rPr>
          <w:rFonts w:ascii="黑体" w:hAnsi="黑体"/>
          <w:b w:val="0"/>
          <w:bCs/>
          <w:szCs w:val="32"/>
        </w:rPr>
      </w:pPr>
      <w:bookmarkStart w:id="763" w:name="_Toc10607_WPSOffice_Level3"/>
      <w:bookmarkStart w:id="764" w:name="_Toc27153_WPSOffice_Level2"/>
      <w:bookmarkStart w:id="765" w:name="_Toc9505_WPSOffice_Level3"/>
      <w:bookmarkStart w:id="766" w:name="_Toc22580_WPSOffice_Level3"/>
      <w:bookmarkStart w:id="767" w:name="_Toc31665_WPSOffice_Level3"/>
      <w:bookmarkStart w:id="768" w:name="_Toc9644_WPSOffice_Level3"/>
      <w:r>
        <w:rPr>
          <w:rFonts w:hint="eastAsia" w:ascii="黑体" w:hAnsi="黑体"/>
          <w:b w:val="0"/>
          <w:bCs/>
          <w:szCs w:val="32"/>
        </w:rPr>
        <w:t>7.1分拣中心建设规模确定依据</w:t>
      </w:r>
      <w:bookmarkEnd w:id="763"/>
      <w:bookmarkEnd w:id="764"/>
      <w:bookmarkEnd w:id="765"/>
      <w:bookmarkEnd w:id="766"/>
      <w:bookmarkEnd w:id="767"/>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由于国家目前尚没有发布再生资源建设标准，本可研分拣中心建筑规模确定依据为：中华人民共和国《绿色再生资源分拣中心建设管理规范》（征求意见稿）。</w:t>
      </w:r>
    </w:p>
    <w:p>
      <w:pPr>
        <w:pStyle w:val="4"/>
        <w:spacing w:before="0" w:after="0" w:line="240" w:lineRule="auto"/>
        <w:ind w:firstLine="632" w:firstLineChars="200"/>
        <w:rPr>
          <w:rFonts w:ascii="黑体" w:hAnsi="黑体"/>
          <w:b w:val="0"/>
          <w:bCs/>
          <w:szCs w:val="32"/>
        </w:rPr>
      </w:pPr>
      <w:bookmarkStart w:id="769" w:name="_Toc11058_WPSOffice_Level3"/>
      <w:bookmarkStart w:id="770" w:name="_Toc8974_WPSOffice_Level3"/>
      <w:bookmarkStart w:id="771" w:name="_Toc13860_WPSOffice_Level2"/>
      <w:bookmarkStart w:id="772" w:name="_Toc1841_WPSOffice_Level3"/>
      <w:bookmarkStart w:id="773" w:name="_Toc19979_WPSOffice_Level3"/>
      <w:r>
        <w:rPr>
          <w:rFonts w:hint="eastAsia" w:ascii="黑体" w:hAnsi="黑体"/>
          <w:b w:val="0"/>
          <w:bCs/>
          <w:szCs w:val="32"/>
        </w:rPr>
        <w:t>7.2分拣中心建设规模确定原则</w:t>
      </w:r>
      <w:bookmarkEnd w:id="769"/>
      <w:bookmarkEnd w:id="770"/>
      <w:bookmarkEnd w:id="771"/>
      <w:bookmarkEnd w:id="772"/>
      <w:bookmarkEnd w:id="773"/>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bookmarkStart w:id="774" w:name="_Toc15411_WPSOffice_Level3"/>
      <w:bookmarkStart w:id="775" w:name="_Toc8236_WPSOffice_Level3"/>
      <w:bookmarkStart w:id="776" w:name="_Toc8052_WPSOffice_Level3"/>
      <w:r>
        <w:rPr>
          <w:rFonts w:hint="eastAsia" w:ascii="仿宋_GB2312" w:hAnsi="仿宋_GB2312" w:eastAsia="仿宋_GB2312" w:cs="仿宋_GB2312"/>
          <w:kern w:val="2"/>
          <w:sz w:val="32"/>
          <w:szCs w:val="32"/>
        </w:rPr>
        <w:t>（1）建设原则</w:t>
      </w:r>
      <w:bookmarkEnd w:id="774"/>
      <w:bookmarkEnd w:id="775"/>
      <w:bookmarkEnd w:id="776"/>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分拣中心设立宜以区、县为单位，根据当地再生资源产生量及回收量，规划建设具备相应处置能力和规模的分拣中心。</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按照“用地集约化，生产洁净化，原料无害化，能源低碳化”的原则建设分拣中心。</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bookmarkStart w:id="777" w:name="_Toc32035_WPSOffice_Level3"/>
      <w:bookmarkStart w:id="778" w:name="_Toc30804_WPSOffice_Level3"/>
      <w:bookmarkStart w:id="779" w:name="_Toc28400_WPSOffice_Level3"/>
      <w:r>
        <w:rPr>
          <w:rFonts w:hint="eastAsia" w:ascii="仿宋_GB2312" w:hAnsi="仿宋_GB2312" w:eastAsia="仿宋_GB2312" w:cs="仿宋_GB2312"/>
          <w:kern w:val="2"/>
          <w:sz w:val="32"/>
          <w:szCs w:val="32"/>
        </w:rPr>
        <w:t>（2）规划要求</w:t>
      </w:r>
      <w:bookmarkEnd w:id="777"/>
      <w:bookmarkEnd w:id="778"/>
      <w:bookmarkEnd w:id="779"/>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遵守国家土地、建筑、环境保护、劳动保障、消防安全、社会治安等方面的有关政策、法律、法规。</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符合所在地产业、城乡建设、土地利用、主体功能区及环境保护等规划的要求。</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有一定面积的自有土地或租赁场所，有明确的四至边界，使用年限不少于10年。</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项目的设计、规划、建设应符合《建设项目环境保护管理条例》的要求。</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bookmarkStart w:id="780" w:name="_Toc17051_WPSOffice_Level3"/>
      <w:bookmarkStart w:id="781" w:name="_Toc3199_WPSOffice_Level3"/>
      <w:bookmarkStart w:id="782" w:name="_Toc15190_WPSOffice_Level3"/>
      <w:r>
        <w:rPr>
          <w:rFonts w:hint="eastAsia" w:ascii="仿宋_GB2312" w:hAnsi="仿宋_GB2312" w:eastAsia="仿宋_GB2312" w:cs="仿宋_GB2312"/>
          <w:kern w:val="2"/>
          <w:sz w:val="32"/>
          <w:szCs w:val="32"/>
        </w:rPr>
        <w:t>（3）选址原则</w:t>
      </w:r>
      <w:bookmarkEnd w:id="780"/>
      <w:bookmarkEnd w:id="781"/>
      <w:bookmarkEnd w:id="782"/>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国家法律、法规、行政规章及规划所确定的，或县级以上人民政府批准的自然保护区、生态功能保护区、风景名胜区、文化遗产区、饮用水水源保护区等需要特殊保护的地区不做选址建设。</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当地饮用水取水点的上游地段不做选址建设。</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距离居民区1000米以内的地区不宜选址建设。</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厂址按照嘉峪关环境卫生管理局意见，暂定为嘉东工业园区。</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bookmarkStart w:id="783" w:name="_Toc26928_WPSOffice_Level3"/>
      <w:bookmarkStart w:id="784" w:name="_Toc30952_WPSOffice_Level3"/>
      <w:bookmarkStart w:id="785" w:name="_Toc3268_WPSOffice_Level3"/>
      <w:r>
        <w:rPr>
          <w:rFonts w:hint="eastAsia" w:ascii="仿宋_GB2312" w:hAnsi="仿宋_GB2312" w:eastAsia="仿宋_GB2312" w:cs="仿宋_GB2312"/>
          <w:kern w:val="2"/>
          <w:sz w:val="32"/>
          <w:szCs w:val="32"/>
        </w:rPr>
        <w:t>（4）分拣中心分类原则</w:t>
      </w:r>
      <w:bookmarkEnd w:id="783"/>
      <w:bookmarkEnd w:id="784"/>
      <w:bookmarkEnd w:id="785"/>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分拣中心按照分拣产品的种类进行分类，分为专业型分拣中心和综合型分拣中心。</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专业型分拣中心是指对单一品类再生资源进行分选、加工、预处理的场所，需具备一定的加工能力和经营规模，管理规范。</w:t>
      </w:r>
    </w:p>
    <w:tbl>
      <w:tblPr>
        <w:tblStyle w:val="17"/>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3"/>
        <w:gridCol w:w="2292"/>
        <w:gridCol w:w="2035"/>
        <w:gridCol w:w="23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2373"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品类</w:t>
            </w:r>
          </w:p>
        </w:tc>
        <w:tc>
          <w:tcPr>
            <w:tcW w:w="229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厂区面积</w:t>
            </w:r>
          </w:p>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（平方米）</w:t>
            </w:r>
          </w:p>
        </w:tc>
        <w:tc>
          <w:tcPr>
            <w:tcW w:w="2035"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年分拣能力</w:t>
            </w:r>
          </w:p>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（万吨）</w:t>
            </w:r>
          </w:p>
        </w:tc>
        <w:tc>
          <w:tcPr>
            <w:tcW w:w="237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单位面积产能</w:t>
            </w:r>
          </w:p>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（吨/平米）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2373"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废金属</w:t>
            </w:r>
          </w:p>
        </w:tc>
        <w:tc>
          <w:tcPr>
            <w:tcW w:w="229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≥20000</w:t>
            </w:r>
          </w:p>
        </w:tc>
        <w:tc>
          <w:tcPr>
            <w:tcW w:w="2035"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≥10</w:t>
            </w:r>
          </w:p>
        </w:tc>
        <w:tc>
          <w:tcPr>
            <w:tcW w:w="237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2373"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废纸</w:t>
            </w:r>
          </w:p>
        </w:tc>
        <w:tc>
          <w:tcPr>
            <w:tcW w:w="229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≥10000</w:t>
            </w:r>
          </w:p>
        </w:tc>
        <w:tc>
          <w:tcPr>
            <w:tcW w:w="2035"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≥10</w:t>
            </w:r>
          </w:p>
        </w:tc>
        <w:tc>
          <w:tcPr>
            <w:tcW w:w="237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2373"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废塑料</w:t>
            </w:r>
          </w:p>
        </w:tc>
        <w:tc>
          <w:tcPr>
            <w:tcW w:w="229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 xml:space="preserve">≥10000 </w:t>
            </w:r>
          </w:p>
        </w:tc>
        <w:tc>
          <w:tcPr>
            <w:tcW w:w="2035"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≥10</w:t>
            </w:r>
          </w:p>
        </w:tc>
        <w:tc>
          <w:tcPr>
            <w:tcW w:w="237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2373"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废橡胶</w:t>
            </w:r>
          </w:p>
        </w:tc>
        <w:tc>
          <w:tcPr>
            <w:tcW w:w="229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≥10000</w:t>
            </w:r>
          </w:p>
        </w:tc>
        <w:tc>
          <w:tcPr>
            <w:tcW w:w="2035"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≥3</w:t>
            </w:r>
          </w:p>
        </w:tc>
        <w:tc>
          <w:tcPr>
            <w:tcW w:w="237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2373"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废玻璃</w:t>
            </w:r>
          </w:p>
        </w:tc>
        <w:tc>
          <w:tcPr>
            <w:tcW w:w="229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 xml:space="preserve">≥10000 </w:t>
            </w:r>
          </w:p>
        </w:tc>
        <w:tc>
          <w:tcPr>
            <w:tcW w:w="2035"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≥3</w:t>
            </w:r>
          </w:p>
        </w:tc>
        <w:tc>
          <w:tcPr>
            <w:tcW w:w="237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2373"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废旧纺织品</w:t>
            </w:r>
          </w:p>
        </w:tc>
        <w:tc>
          <w:tcPr>
            <w:tcW w:w="229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 xml:space="preserve">≥10000 </w:t>
            </w:r>
          </w:p>
        </w:tc>
        <w:tc>
          <w:tcPr>
            <w:tcW w:w="2035"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≥2</w:t>
            </w:r>
          </w:p>
        </w:tc>
        <w:tc>
          <w:tcPr>
            <w:tcW w:w="237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2373"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废弃大件家具</w:t>
            </w:r>
          </w:p>
        </w:tc>
        <w:tc>
          <w:tcPr>
            <w:tcW w:w="229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≥5000</w:t>
            </w:r>
          </w:p>
        </w:tc>
        <w:tc>
          <w:tcPr>
            <w:tcW w:w="2035"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≥0.5</w:t>
            </w:r>
          </w:p>
        </w:tc>
        <w:tc>
          <w:tcPr>
            <w:tcW w:w="2372" w:type="dxa"/>
            <w:shd w:val="clear" w:color="auto" w:fill="FFFFFF"/>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≥0.5</w:t>
            </w:r>
          </w:p>
        </w:tc>
      </w:tr>
    </w:tbl>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综合型分拣中心指分拣品类不少于二类。可分为大、中、小型三个级别，各级别综合型分拣中心的年分拣能力和厂区面积如下：</w:t>
      </w:r>
    </w:p>
    <w:tbl>
      <w:tblPr>
        <w:tblStyle w:val="17"/>
        <w:tblW w:w="87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2"/>
        <w:gridCol w:w="2563"/>
        <w:gridCol w:w="2644"/>
        <w:gridCol w:w="2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462" w:type="dxa"/>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级别</w:t>
            </w:r>
          </w:p>
        </w:tc>
        <w:tc>
          <w:tcPr>
            <w:tcW w:w="2563" w:type="dxa"/>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厂区面积（平方米）</w:t>
            </w:r>
          </w:p>
        </w:tc>
        <w:tc>
          <w:tcPr>
            <w:tcW w:w="2644" w:type="dxa"/>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年分拣能力（万吨）</w:t>
            </w:r>
          </w:p>
        </w:tc>
        <w:tc>
          <w:tcPr>
            <w:tcW w:w="2080" w:type="dxa"/>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单位面积产能（吨/平米）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1462" w:type="dxa"/>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大型</w:t>
            </w:r>
          </w:p>
        </w:tc>
        <w:tc>
          <w:tcPr>
            <w:tcW w:w="2563" w:type="dxa"/>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&gt;66000</w:t>
            </w:r>
          </w:p>
        </w:tc>
        <w:tc>
          <w:tcPr>
            <w:tcW w:w="2644" w:type="dxa"/>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≥50</w:t>
            </w:r>
          </w:p>
        </w:tc>
        <w:tc>
          <w:tcPr>
            <w:tcW w:w="2080" w:type="dxa"/>
            <w:vMerge w:val="restart"/>
            <w:vAlign w:val="center"/>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462" w:type="dxa"/>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中型</w:t>
            </w:r>
          </w:p>
        </w:tc>
        <w:tc>
          <w:tcPr>
            <w:tcW w:w="2563" w:type="dxa"/>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33000-66000</w:t>
            </w:r>
          </w:p>
        </w:tc>
        <w:tc>
          <w:tcPr>
            <w:tcW w:w="2644" w:type="dxa"/>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≥25</w:t>
            </w:r>
          </w:p>
        </w:tc>
        <w:tc>
          <w:tcPr>
            <w:tcW w:w="2080" w:type="dxa"/>
            <w:vMerge w:val="continue"/>
          </w:tcPr>
          <w:p>
            <w:pPr>
              <w:numPr>
                <w:ilvl w:val="0"/>
                <w:numId w:val="4"/>
              </w:numPr>
              <w:tabs>
                <w:tab w:val="left" w:pos="5010"/>
              </w:tabs>
              <w:spacing w:line="360" w:lineRule="auto"/>
              <w:ind w:left="0" w:firstLine="0"/>
              <w:jc w:val="center"/>
              <w:rPr>
                <w:rFonts w:ascii="宋体" w:hAnsi="宋体" w:eastAsia="宋体" w:cs="宋体"/>
                <w:kern w:val="0"/>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462" w:type="dxa"/>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小型</w:t>
            </w:r>
          </w:p>
        </w:tc>
        <w:tc>
          <w:tcPr>
            <w:tcW w:w="2563" w:type="dxa"/>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≥13000</w:t>
            </w:r>
          </w:p>
        </w:tc>
        <w:tc>
          <w:tcPr>
            <w:tcW w:w="2644" w:type="dxa"/>
          </w:tcPr>
          <w:p>
            <w:pPr>
              <w:tabs>
                <w:tab w:val="left" w:pos="5010"/>
              </w:tabs>
              <w:jc w:val="center"/>
              <w:rPr>
                <w:rFonts w:ascii="宋体" w:hAnsi="宋体" w:eastAsia="宋体" w:cs="宋体"/>
                <w:kern w:val="0"/>
                <w:sz w:val="21"/>
                <w:szCs w:val="21"/>
              </w:rPr>
            </w:pPr>
            <w:r>
              <w:rPr>
                <w:rFonts w:hint="eastAsia" w:ascii="宋体" w:hAnsi="宋体" w:eastAsia="宋体" w:cs="宋体"/>
                <w:kern w:val="0"/>
                <w:sz w:val="21"/>
                <w:szCs w:val="21"/>
              </w:rPr>
              <w:t>≥10</w:t>
            </w:r>
          </w:p>
        </w:tc>
        <w:tc>
          <w:tcPr>
            <w:tcW w:w="2080" w:type="dxa"/>
            <w:vMerge w:val="continue"/>
          </w:tcPr>
          <w:p>
            <w:pPr>
              <w:numPr>
                <w:ilvl w:val="0"/>
                <w:numId w:val="4"/>
              </w:numPr>
              <w:tabs>
                <w:tab w:val="left" w:pos="5010"/>
              </w:tabs>
              <w:spacing w:line="360" w:lineRule="auto"/>
              <w:ind w:left="0" w:firstLine="0"/>
              <w:jc w:val="center"/>
              <w:rPr>
                <w:rFonts w:ascii="宋体" w:hAnsi="宋体" w:eastAsia="宋体" w:cs="宋体"/>
                <w:kern w:val="0"/>
                <w:szCs w:val="18"/>
              </w:rPr>
            </w:pPr>
          </w:p>
        </w:tc>
      </w:tr>
    </w:tbl>
    <w:p>
      <w:pPr>
        <w:pStyle w:val="4"/>
        <w:spacing w:before="0" w:after="0" w:line="360" w:lineRule="auto"/>
        <w:ind w:firstLine="632" w:firstLineChars="200"/>
        <w:rPr>
          <w:rFonts w:ascii="黑体" w:hAnsi="黑体"/>
          <w:b w:val="0"/>
          <w:bCs/>
          <w:szCs w:val="32"/>
        </w:rPr>
      </w:pPr>
      <w:bookmarkStart w:id="786" w:name="_Toc2714_WPSOffice_Level3"/>
      <w:bookmarkStart w:id="787" w:name="_Toc10351_WPSOffice_Level3"/>
      <w:bookmarkStart w:id="788" w:name="_Toc21176_WPSOffice_Level2"/>
      <w:r>
        <w:rPr>
          <w:rFonts w:hint="eastAsia" w:ascii="黑体" w:hAnsi="黑体"/>
          <w:b w:val="0"/>
          <w:bCs/>
          <w:szCs w:val="32"/>
        </w:rPr>
        <w:t>7.3分拣中心的规模确定</w:t>
      </w:r>
      <w:bookmarkEnd w:id="786"/>
      <w:bookmarkEnd w:id="787"/>
      <w:bookmarkEnd w:id="788"/>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依据以上分拣中心建设原则，嘉峪关城市生活垃圾分类项目分拣中心宜分阶段、分部进行建设。</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初期阶段根据垃圾收集量和回收利用率，结合前端智能垃圾分类情况，不宜设置综合型分拣中心，但可结合分类目标设置必要的办公及辅助用房。办公及辅助用房建设面积约为1300㎡。</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根据嘉峪关市近几年垃圾产量及成分构成情况（详见表3-3-1、表3-3-2）及垃圾成分预测表（详见表3-3-3、表3-3-4），最终全市应设置一座垃圾日处置能力为120T、年处理量为4.38万吨的综合型分拣中心。厂区拟建设规模约为5000㎡,总占地面积约12000㎡。分拣中心拟结合初期设置的办公、生活用房，扩建到含生产、分类展示、垃圾分类产品交易、物流等区域的规模，生活区与办公区相互隔离，距离满足安全防护要求。并规划设置建设原料区、分拣区、加工区、质检区、成品区、运输区、固废及有毒有害临时存放区。</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分拣中心功能定位最终可实现生活垃圾（含废钢铁、废纸、废塑料、废有色金属、废橡胶、废玻璃、废旧纺织品、废弃大件家具等再生资源）日处置能力为120T的全封闭设备分类分拣，以及集分类展示、垃圾交易、分类物流等外延功能。</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分拣中心采用分拣设备自动化运作模式，一次规划到位和一次性基建到位，分拣设施分期改造和分拣设备分批购置。建设原则是“最适宜原则”，符合近期和长远垃圾分类分拣要求，可对垃圾分类回收体系聚集的生活垃圾再生资源进行分选、拆解、剪切、破碎、清洗、打包、储存等专业化和规模化初加工，为利用企业提供合格再生原料。</w:t>
      </w:r>
    </w:p>
    <w:p>
      <w:pPr>
        <w:pStyle w:val="15"/>
        <w:widowControl/>
        <w:shd w:val="clear" w:color="auto" w:fill="FFFFFF"/>
        <w:spacing w:beforeAutospacing="0" w:afterAutospacing="0" w:line="578" w:lineRule="exact"/>
        <w:ind w:firstLine="632" w:firstLineChars="200"/>
        <w:jc w:val="both"/>
        <w:rPr>
          <w:rFonts w:ascii="仿宋_GB2312" w:hAnsi="仿宋_GB2312" w:eastAsia="仿宋_GB2312" w:cs="仿宋_GB2312"/>
          <w:kern w:val="2"/>
          <w:sz w:val="32"/>
          <w:szCs w:val="32"/>
        </w:rPr>
      </w:pPr>
      <w:r>
        <w:rPr>
          <w:rFonts w:hint="eastAsia" w:ascii="仿宋_GB2312" w:hAnsi="仿宋_GB2312" w:eastAsia="仿宋_GB2312" w:cs="仿宋_GB2312"/>
          <w:kern w:val="2"/>
          <w:sz w:val="32"/>
          <w:szCs w:val="32"/>
        </w:rPr>
        <w:t>各品类再生资源的分类及综合统计数据、计量记录、月度台账、出库记录、运输记录、生产区域监控记录等纳入管理信息系统，相关记录保存3年以上。建设信息管理平台、电子服务平台以及具备信息安全功能的信息化设施。</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分拣中心各建筑设计使用年限为50年。根据使用功能要求，结合发展规划，主要建设设计各子项内容如下：</w:t>
      </w:r>
    </w:p>
    <w:p>
      <w:pPr>
        <w:numPr>
          <w:ilvl w:val="0"/>
          <w:numId w:val="5"/>
        </w:num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分选分拣车间一幢，占地面积1200平方米，总建筑面积约1200平方米（不含局部夹层面积及雨棚面积）。</w:t>
      </w:r>
    </w:p>
    <w:p>
      <w:pPr>
        <w:numPr>
          <w:ilvl w:val="0"/>
          <w:numId w:val="5"/>
        </w:num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分选（含纺织品、金属、玻璃、塑料、纸张、橡胶）加工存储区仓库一幢，占地面积1080平方米，总建筑面积约1080平方米（不含局部夹层面积及雨棚面积）。</w:t>
      </w:r>
    </w:p>
    <w:p>
      <w:pPr>
        <w:numPr>
          <w:ilvl w:val="0"/>
          <w:numId w:val="5"/>
        </w:num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危废存储仓库一幢，占地面积500平方米，总建筑面积约500平方米（不含局部夹层面积及雨棚面积）。</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附属综合办公宿舍楼一幢，建筑面积1275平方米；展示及交易用房一幢，建筑面积200平方米；锅炉水泵房一座，建筑面积64平方米；地下消防和生活水池一座，建筑面积200平方米；车库及机修用房建筑面积150平方米；一座室外箱变；污水处理间建筑面积40平方米；门卫值班室建筑面积20平方米。预留发展用房300平方米。</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5）同时室外配套场区道路、硬化广场地面及室外停车位、绿化景观等约5000平方米。</w:t>
      </w:r>
    </w:p>
    <w:p>
      <w:pPr>
        <w:pStyle w:val="4"/>
        <w:spacing w:before="0" w:after="0" w:line="360" w:lineRule="auto"/>
        <w:ind w:firstLine="632" w:firstLineChars="200"/>
        <w:rPr>
          <w:rFonts w:ascii="黑体" w:hAnsi="黑体"/>
          <w:b w:val="0"/>
          <w:bCs/>
          <w:szCs w:val="32"/>
        </w:rPr>
      </w:pPr>
      <w:bookmarkStart w:id="789" w:name="_Toc6216_WPSOffice_Level2"/>
      <w:r>
        <w:rPr>
          <w:rFonts w:hint="eastAsia" w:ascii="黑体" w:hAnsi="黑体"/>
          <w:b w:val="0"/>
          <w:bCs/>
          <w:szCs w:val="32"/>
        </w:rPr>
        <w:t>7.4工艺设计</w:t>
      </w:r>
      <w:bookmarkEnd w:id="768"/>
      <w:bookmarkEnd w:id="789"/>
    </w:p>
    <w:p>
      <w:pPr>
        <w:ind w:firstLine="632" w:firstLineChars="20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该项目拟采用生活垃圾自动化分选处理技术，工艺设计为垃圾机械化分选+有机质堆肥处理工艺方案，实现垃圾处理的快速化分选，无害化处理有机质，实现垃圾处理的就地减量化65%左右。</w:t>
      </w:r>
      <w:r>
        <w:rPr>
          <w:rFonts w:ascii="仿宋_GB2312" w:hAnsi="仿宋_GB2312" w:eastAsia="仿宋_GB2312" w:cs="仿宋_GB2312"/>
          <w:sz w:val="32"/>
          <w:szCs w:val="32"/>
        </w:rPr>
        <w:drawing>
          <wp:inline distT="0" distB="0" distL="0" distR="0">
            <wp:extent cx="4942205" cy="3102610"/>
            <wp:effectExtent l="0" t="0" r="10795" b="2540"/>
            <wp:docPr id="2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2"/>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942800" cy="3103200"/>
                    </a:xfrm>
                    <a:prstGeom prst="rect">
                      <a:avLst/>
                    </a:prstGeom>
                  </pic:spPr>
                </pic:pic>
              </a:graphicData>
            </a:graphic>
          </wp:inline>
        </w:drawing>
      </w:r>
    </w:p>
    <w:p>
      <w:pPr>
        <w:ind w:firstLine="632" w:firstLineChars="200"/>
        <w:rPr>
          <w:rFonts w:ascii="仿宋_GB2312" w:hAnsi="仿宋_GB2312" w:eastAsia="仿宋_GB2312" w:cs="仿宋_GB2312"/>
          <w:b/>
          <w:bCs/>
          <w:sz w:val="32"/>
          <w:szCs w:val="32"/>
        </w:rPr>
      </w:pPr>
      <w:bookmarkStart w:id="790" w:name="_Toc31808_WPSOffice_Level3"/>
      <w:bookmarkStart w:id="791" w:name="_Toc12641_WPSOffice_Level3"/>
      <w:bookmarkStart w:id="792" w:name="_Toc28401_WPSOffice_Level3"/>
      <w:r>
        <w:rPr>
          <w:rFonts w:hint="eastAsia" w:ascii="仿宋_GB2312" w:hAnsi="仿宋_GB2312" w:eastAsia="仿宋_GB2312" w:cs="仿宋_GB2312"/>
          <w:b/>
          <w:bCs/>
          <w:sz w:val="32"/>
          <w:szCs w:val="32"/>
        </w:rPr>
        <w:t>7.4.1工艺流程图</w:t>
      </w:r>
      <w:bookmarkEnd w:id="790"/>
      <w:bookmarkEnd w:id="791"/>
      <w:bookmarkEnd w:id="792"/>
    </w:p>
    <w:p>
      <w:pPr>
        <w:ind w:firstLine="544" w:firstLineChars="200"/>
        <w:rPr>
          <w:rFonts w:ascii="仿宋_GB2312" w:hAnsi="仿宋_GB2312" w:eastAsia="仿宋_GB2312" w:cs="仿宋_GB2312"/>
          <w:sz w:val="32"/>
          <w:szCs w:val="32"/>
        </w:rPr>
      </w:pPr>
      <w:bookmarkStart w:id="793" w:name="_Toc5727_WPSOffice_Level3"/>
      <w:r>
        <w:rPr>
          <w:rFonts w:hint="eastAsia" w:ascii="微软雅黑" w:hAnsi="微软雅黑" w:eastAsia="微软雅黑" w:cs="宋体"/>
          <w:spacing w:val="8"/>
          <w:kern w:val="0"/>
          <w:sz w:val="26"/>
          <w:szCs w:val="26"/>
        </w:rPr>
        <w:drawing>
          <wp:inline distT="0" distB="0" distL="114300" distR="114300">
            <wp:extent cx="4505325" cy="4086860"/>
            <wp:effectExtent l="0" t="0" r="9525" b="8890"/>
            <wp:docPr id="1" name="图片 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3"/>
                    <pic:cNvPicPr>
                      <a:picLocks noChangeAspect="1"/>
                    </pic:cNvPicPr>
                  </pic:nvPicPr>
                  <pic:blipFill>
                    <a:blip r:embed="rId86" cstate="print"/>
                    <a:srcRect l="11586" r="9598" b="3860"/>
                    <a:stretch>
                      <a:fillRect/>
                    </a:stretch>
                  </pic:blipFill>
                  <pic:spPr>
                    <a:xfrm>
                      <a:off x="0" y="0"/>
                      <a:ext cx="4505325" cy="4086860"/>
                    </a:xfrm>
                    <a:prstGeom prst="rect">
                      <a:avLst/>
                    </a:prstGeom>
                  </pic:spPr>
                </pic:pic>
              </a:graphicData>
            </a:graphic>
          </wp:inline>
        </w:drawing>
      </w:r>
    </w:p>
    <w:p>
      <w:pPr>
        <w:ind w:firstLine="632" w:firstLineChars="200"/>
        <w:rPr>
          <w:rFonts w:ascii="仿宋_GB2312" w:hAnsi="仿宋_GB2312" w:eastAsia="仿宋_GB2312" w:cs="仿宋_GB2312"/>
          <w:b/>
          <w:bCs/>
          <w:sz w:val="32"/>
          <w:szCs w:val="32"/>
        </w:rPr>
      </w:pPr>
      <w:bookmarkStart w:id="794" w:name="_Toc26453_WPSOffice_Level3"/>
      <w:bookmarkStart w:id="795" w:name="_Toc10517_WPSOffice_Level3"/>
      <w:r>
        <w:rPr>
          <w:rFonts w:hint="eastAsia" w:ascii="仿宋_GB2312" w:hAnsi="仿宋_GB2312" w:eastAsia="仿宋_GB2312" w:cs="仿宋_GB2312"/>
          <w:b/>
          <w:bCs/>
          <w:sz w:val="32"/>
          <w:szCs w:val="32"/>
        </w:rPr>
        <w:t>7.4.2工艺流程介绍</w:t>
      </w:r>
      <w:bookmarkEnd w:id="793"/>
      <w:bookmarkEnd w:id="794"/>
      <w:bookmarkEnd w:id="795"/>
    </w:p>
    <w:p>
      <w:r>
        <w:drawing>
          <wp:inline distT="0" distB="0" distL="0" distR="0">
            <wp:extent cx="4430395" cy="3016885"/>
            <wp:effectExtent l="0" t="0" r="8255" b="12065"/>
            <wp:docPr id="18" name="图片 23" descr="E:\工作文件\嘉峪关市生活垃圾分类可研\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3" descr="E:\工作文件\嘉峪关市生活垃圾分类可研\02.jpg"/>
                    <pic:cNvPicPr>
                      <a:picLocks noChangeAspect="1" noChangeArrowheads="1"/>
                    </pic:cNvPicPr>
                  </pic:nvPicPr>
                  <pic:blipFill>
                    <a:blip r:embed="rId87" cstate="print"/>
                    <a:srcRect/>
                    <a:stretch>
                      <a:fillRect/>
                    </a:stretch>
                  </pic:blipFill>
                  <pic:spPr>
                    <a:xfrm>
                      <a:off x="0" y="0"/>
                      <a:ext cx="4430395" cy="3016885"/>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b/>
          <w:bCs/>
          <w:sz w:val="32"/>
          <w:szCs w:val="32"/>
        </w:rPr>
      </w:pPr>
      <w:bookmarkStart w:id="796" w:name="_Toc4037_WPSOffice_Level3"/>
      <w:bookmarkStart w:id="797" w:name="_Toc20106_WPSOffice_Level3"/>
      <w:bookmarkStart w:id="798" w:name="_Toc4470_WPSOffice_Level3"/>
      <w:bookmarkStart w:id="799" w:name="_Toc16682_WPSOffice_Level3"/>
      <w:r>
        <w:rPr>
          <w:rFonts w:hint="eastAsia" w:ascii="仿宋_GB2312" w:hAnsi="仿宋_GB2312" w:eastAsia="仿宋_GB2312" w:cs="仿宋_GB2312"/>
          <w:b/>
          <w:bCs/>
          <w:sz w:val="32"/>
          <w:szCs w:val="32"/>
        </w:rPr>
        <w:t>7.4.3全封闭、机械化垃圾分选系统</w:t>
      </w:r>
      <w:bookmarkEnd w:id="796"/>
      <w:bookmarkEnd w:id="797"/>
      <w:bookmarkEnd w:id="798"/>
      <w:bookmarkEnd w:id="799"/>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该系统通过垃圾均匀给料、大件垃圾自动分选系统、大件垃圾自动破碎系统、袋装垃圾自动破袋、大块有机物自动破碎系统、全封闭机械化风选系统等工艺处理后，可将城市各种垃圾分选为：无机物类；有机物类；不可回收可燃物类；塑料类；铁磁物电池类；以上垃圾，分选纯度均可达到85%以上，塑料分选可达到90%以上，为下工序各种垃圾处理的“资源化、产业化”打下了坚实的基础。该阶段采用流水线模式，无需运输车辆。</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（1）垃圾的卸料</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垃圾经垃圾运输车运入，地磅过重后，垃圾运输车进入垃圾车回转车间，全封闭车间，负压运行，将各种垃圾卸料在全封闭车间负压运行垃圾暂存车间，卸料时同时喷淋除臭剂，开启臭气处理系统。</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（2）垃圾的储存、渗滤液收集及上料</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的储存：采用锅底坑储存方式储存，主要是为了方便抓斗工作，以减少因垃圾残留而产生臭气，容积为日处理量的7-10倍。从学校、小区街道及机关事业单位运送至分拣中心的是未进行分类的垃圾，可能含有少量有毒有害垃圾等，根据《危险废物贮存污染控制标准》，防止危险废物贮存过程造成的环境污染，在常温常压下易爆、易燃及排出有毒气体的危险废物必须进行预处理，使之稳定后贮存，在常温常压下不水解、不挥发的固体危险废物可在贮存设施内分别堆放。</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渗滤液收集：暂存车间设计有渗滤液收集池，该收集池设计在垃圾暂存坑底部，可自然收集。</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的上料：采用垃圾车自卸式上料与行车抓斗上料两种方式，上班工作时，垃圾自卸车直接卸料至受料斗。以减少行车抓斗运行次数，节约运行成本；下班后，垃圾自卸车卸料至垃圾暂存坑，等上班时，再用行车抓斗上料至受料斗。</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受料斗三面斜坡承担物料重量，减轻了物料对均匀给料机的直接压力（垃圾车可以直接卸料到收料斗），使均匀给料机永无因过载而不能启动的现象。受料斗三面斜坡的特殊角度，又彻底解决了蓬料现象，使物料顺畅落在均匀给料机上，实现连续生产、均匀给料。</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（3）均匀给料机</w:t>
      </w:r>
    </w:p>
    <w:p>
      <w:pPr>
        <w:ind w:firstLine="472" w:firstLineChars="200"/>
      </w:pPr>
      <w:r>
        <w:rPr>
          <w:rFonts w:hint="eastAsia" w:ascii="宋体" w:hAnsi="宋体"/>
          <w:sz w:val="24"/>
        </w:rPr>
        <w:drawing>
          <wp:anchor distT="0" distB="0" distL="114300" distR="114300" simplePos="0" relativeHeight="251740160" behindDoc="0" locked="0" layoutInCell="1" allowOverlap="1">
            <wp:simplePos x="0" y="0"/>
            <wp:positionH relativeFrom="column">
              <wp:posOffset>821055</wp:posOffset>
            </wp:positionH>
            <wp:positionV relativeFrom="paragraph">
              <wp:posOffset>881380</wp:posOffset>
            </wp:positionV>
            <wp:extent cx="3543300" cy="2190750"/>
            <wp:effectExtent l="0" t="0" r="0" b="0"/>
            <wp:wrapTopAndBottom/>
            <wp:docPr id="19" name="图片 30" descr="324dbfc0-08de-499c-b412-85205b546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0" descr="324dbfc0-08de-499c-b412-85205b546766"/>
                    <pic:cNvPicPr>
                      <a:picLocks noChangeAspect="1" noChangeArrowheads="1"/>
                    </pic:cNvPicPr>
                  </pic:nvPicPr>
                  <pic:blipFill>
                    <a:blip r:embed="rId88" cstate="print"/>
                    <a:srcRect/>
                    <a:stretch>
                      <a:fillRect/>
                    </a:stretch>
                  </pic:blipFill>
                  <pic:spPr>
                    <a:xfrm>
                      <a:off x="0" y="0"/>
                      <a:ext cx="3543300" cy="2190750"/>
                    </a:xfrm>
                    <a:prstGeom prst="rect">
                      <a:avLst/>
                    </a:prstGeom>
                    <a:noFill/>
                    <a:ln w="9525">
                      <a:noFill/>
                      <a:miter lim="800000"/>
                      <a:headEnd/>
                      <a:tailEnd/>
                    </a:ln>
                  </pic:spPr>
                </pic:pic>
              </a:graphicData>
            </a:graphic>
          </wp:anchor>
        </w:drawing>
      </w:r>
      <w:r>
        <w:rPr>
          <w:rFonts w:hint="eastAsia" w:ascii="仿宋_GB2312" w:hAnsi="仿宋_GB2312" w:eastAsia="仿宋_GB2312" w:cs="仿宋_GB2312"/>
          <w:sz w:val="32"/>
          <w:szCs w:val="32"/>
        </w:rPr>
        <w:t>特殊设计的安装角度，使多余物料自动下滑，可按生产要求自动实现均匀给料，无需任何人工及其它辅助措施。</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（4）大件垃圾破碎机</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集中分拣中心有部分大件垃圾包括大件家具包括床垫、沙发、椅子等，这种高体积重量大的垃圾，需要用行车抓斗上料至大件垃圾破碎设备，通过大件垃圾破碎机进行预处理，大件垃圾破碎机包括破碎机、不可破碎系统等。</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大件垃圾经过经过破碎拆解，将大件垃圾进行整体拆分，对大件垃圾破碎拆解过程是将大件垃圾由整化零，变废为宝的过程，这个过程实现对大件垃圾中可回收物质件以及材料的回收，实现大件垃圾的资源化。大件垃圾处理系统破碎后的部分织物皮革木材等与预分选系统分选出的不可回收物集中送至垃圾填埋场填埋，废弃铁丝可集中和前端分选系统分选出的部分铁磁物集中收集销售。</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该设备采用效能优良的双轴液压驱动，正向、反向转动时均可破碎，可将垃圾中大件垃圾全部破碎，且具有可人工操作的不可破碎物料排料门，以便垃圾中不可破碎物料的排出；经过破碎后的垃圾再次回到垃圾暂存坑，后经行车抓斗、均匀给料机输送至大件垃圾分选机依次进行后续处理。</w:t>
      </w:r>
    </w:p>
    <w:p>
      <w:pPr>
        <w:widowControl/>
        <w:shd w:val="clear" w:color="auto" w:fill="FFFFFF"/>
        <w:jc w:val="center"/>
        <w:rPr>
          <w:rFonts w:ascii="微软雅黑" w:hAnsi="微软雅黑" w:eastAsia="微软雅黑" w:cs="宋体"/>
          <w:spacing w:val="8"/>
          <w:kern w:val="0"/>
          <w:sz w:val="26"/>
          <w:szCs w:val="26"/>
        </w:rPr>
      </w:pPr>
      <w:r>
        <w:rPr>
          <w:rFonts w:ascii="微软雅黑" w:hAnsi="微软雅黑" w:eastAsia="微软雅黑" w:cs="宋体"/>
          <w:spacing w:val="8"/>
          <w:kern w:val="0"/>
          <w:sz w:val="26"/>
          <w:szCs w:val="26"/>
        </w:rPr>
        <w:drawing>
          <wp:inline distT="0" distB="0" distL="0" distR="0">
            <wp:extent cx="4295775" cy="2552065"/>
            <wp:effectExtent l="0" t="0" r="9525" b="635"/>
            <wp:docPr id="16" name="图片 28" descr="E:\工作文件\嘉峪关市生活垃圾分类可研\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8" descr="E:\工作文件\嘉峪关市生活垃圾分类可研\04.jpg"/>
                    <pic:cNvPicPr>
                      <a:picLocks noChangeAspect="1" noChangeArrowheads="1"/>
                    </pic:cNvPicPr>
                  </pic:nvPicPr>
                  <pic:blipFill>
                    <a:blip r:embed="rId89" cstate="print"/>
                    <a:srcRect/>
                    <a:stretch>
                      <a:fillRect/>
                    </a:stretch>
                  </pic:blipFill>
                  <pic:spPr>
                    <a:xfrm>
                      <a:off x="0" y="0"/>
                      <a:ext cx="4295775" cy="2552065"/>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（5）滚筒筛</w:t>
      </w:r>
    </w:p>
    <w:p>
      <w:pPr>
        <w:pStyle w:val="43"/>
        <w:spacing w:line="578" w:lineRule="exact"/>
        <w:ind w:firstLine="631"/>
        <w:rPr>
          <w:rFonts w:ascii="仿宋_GB2312" w:hAnsi="仿宋_GB2312" w:eastAsia="仿宋_GB2312" w:cs="仿宋_GB2312"/>
          <w:b w:val="0"/>
          <w:sz w:val="32"/>
          <w:szCs w:val="32"/>
        </w:rPr>
      </w:pPr>
      <w:r>
        <w:rPr>
          <w:rFonts w:hint="eastAsia" w:ascii="仿宋_GB2312" w:hAnsi="仿宋_GB2312" w:eastAsia="仿宋_GB2312" w:cs="仿宋_GB2312"/>
          <w:b w:val="0"/>
          <w:sz w:val="32"/>
          <w:szCs w:val="32"/>
        </w:rPr>
        <w:t>经桥式双梁抓吊或垃圾自卸车上料到均匀给料机，经均匀给料机并经人工分拣后将物料均匀输送至滚筒筛。破袋滚筒筛是生活垃圾综合分选系统的核心设备之一。该设备具有处理量大、运行稳定、筛分效率高、粒度分选准确等特点。</w:t>
      </w:r>
    </w:p>
    <w:p>
      <w:pPr>
        <w:spacing w:line="578" w:lineRule="exact"/>
        <w:ind w:left="412" w:leftChars="200"/>
        <w:rPr>
          <w:rFonts w:ascii="仿宋_GB2312" w:hAnsi="仿宋_GB2312" w:eastAsia="仿宋_GB2312" w:cs="仿宋_GB2312"/>
          <w:sz w:val="32"/>
          <w:szCs w:val="32"/>
        </w:rPr>
      </w:pPr>
      <w:r>
        <w:rPr>
          <w:rFonts w:hint="eastAsia" w:ascii="仿宋_GB2312" w:hAnsi="仿宋_GB2312" w:eastAsia="仿宋_GB2312" w:cs="仿宋_GB2312"/>
          <w:sz w:val="32"/>
          <w:szCs w:val="32"/>
        </w:rPr>
        <w:t>1）滚筒筛为密闭构造，设有臭气集中排放口。</w:t>
      </w:r>
    </w:p>
    <w:p>
      <w:pPr>
        <w:spacing w:line="578" w:lineRule="exact"/>
        <w:ind w:left="412" w:leftChars="200"/>
        <w:rPr>
          <w:rFonts w:ascii="仿宋_GB2312" w:hAnsi="仿宋_GB2312" w:eastAsia="仿宋_GB2312" w:cs="仿宋_GB2312"/>
          <w:sz w:val="32"/>
          <w:szCs w:val="32"/>
        </w:rPr>
      </w:pPr>
      <w:r>
        <w:rPr>
          <w:rFonts w:hint="eastAsia" w:ascii="仿宋_GB2312" w:hAnsi="仿宋_GB2312" w:eastAsia="仿宋_GB2312" w:cs="仿宋_GB2312"/>
          <w:sz w:val="32"/>
          <w:szCs w:val="32"/>
        </w:rPr>
        <w:t>2）滚筒筛带有破袋功能，内部设置刀片。</w:t>
      </w:r>
    </w:p>
    <w:p>
      <w:pPr>
        <w:spacing w:line="578" w:lineRule="exact"/>
        <w:ind w:left="412" w:leftChars="200"/>
        <w:rPr>
          <w:rFonts w:ascii="仿宋_GB2312" w:hAnsi="仿宋_GB2312" w:eastAsia="仿宋_GB2312" w:cs="仿宋_GB2312"/>
          <w:sz w:val="32"/>
          <w:szCs w:val="32"/>
        </w:rPr>
      </w:pPr>
      <w:r>
        <w:rPr>
          <w:rFonts w:hint="eastAsia" w:ascii="仿宋_GB2312" w:hAnsi="仿宋_GB2312" w:eastAsia="仿宋_GB2312" w:cs="仿宋_GB2312"/>
          <w:sz w:val="32"/>
          <w:szCs w:val="32"/>
        </w:rPr>
        <w:t>3）滚筒筛的选型适用于接触酸、碱、油、渗沥液及腐蚀性物料，适用于粉尘大、易磨损的环境；满足环境温度-20度至＋50度的要求。</w:t>
      </w:r>
    </w:p>
    <w:p>
      <w:pPr>
        <w:ind w:firstLine="632" w:firstLineChars="200"/>
        <w:rPr>
          <w:rFonts w:ascii="仿宋_GB2312" w:hAnsi="仿宋_GB2312" w:eastAsia="仿宋_GB2312" w:cs="仿宋_GB2312"/>
          <w:sz w:val="32"/>
          <w:szCs w:val="32"/>
        </w:rPr>
      </w:pPr>
    </w:p>
    <w:p>
      <w:pPr>
        <w:widowControl/>
        <w:shd w:val="clear" w:color="auto" w:fill="FFFFFF"/>
        <w:spacing w:line="291" w:lineRule="atLeast"/>
        <w:rPr>
          <w:rFonts w:ascii="仿宋_GB2312" w:hAnsi="仿宋_GB2312" w:eastAsia="仿宋_GB2312" w:cs="仿宋_GB2312"/>
          <w:sz w:val="32"/>
          <w:szCs w:val="32"/>
        </w:rPr>
      </w:pPr>
      <w:r>
        <w:rPr>
          <w:rFonts w:hint="eastAsia" w:ascii="宋体" w:hAnsi="宋体" w:cs="Arial"/>
          <w:sz w:val="24"/>
        </w:rPr>
        <w:drawing>
          <wp:anchor distT="0" distB="0" distL="114300" distR="114300" simplePos="0" relativeHeight="252166144" behindDoc="1" locked="0" layoutInCell="1" allowOverlap="1">
            <wp:simplePos x="0" y="0"/>
            <wp:positionH relativeFrom="column">
              <wp:posOffset>10795</wp:posOffset>
            </wp:positionH>
            <wp:positionV relativeFrom="paragraph">
              <wp:posOffset>1885315</wp:posOffset>
            </wp:positionV>
            <wp:extent cx="5334635" cy="2115185"/>
            <wp:effectExtent l="0" t="0" r="18415" b="18415"/>
            <wp:wrapNone/>
            <wp:docPr id="35" name="图片 35" descr="幻灯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幻灯片39"/>
                    <pic:cNvPicPr>
                      <a:picLocks noChangeAspect="1" noChangeArrowheads="1"/>
                    </pic:cNvPicPr>
                  </pic:nvPicPr>
                  <pic:blipFill>
                    <a:blip r:embed="rId90" cstate="print"/>
                    <a:srcRect/>
                    <a:stretch>
                      <a:fillRect/>
                    </a:stretch>
                  </pic:blipFill>
                  <pic:spPr>
                    <a:xfrm>
                      <a:off x="0" y="0"/>
                      <a:ext cx="5334635" cy="2115185"/>
                    </a:xfrm>
                    <a:prstGeom prst="rect">
                      <a:avLst/>
                    </a:prstGeom>
                    <a:noFill/>
                    <a:ln w="9525">
                      <a:noFill/>
                      <a:miter lim="800000"/>
                      <a:headEnd/>
                      <a:tailEnd/>
                    </a:ln>
                  </pic:spPr>
                </pic:pic>
              </a:graphicData>
            </a:graphic>
          </wp:anchor>
        </w:drawing>
      </w:r>
      <w:r>
        <w:rPr>
          <w:rFonts w:hint="eastAsia" w:ascii="宋体" w:hAnsi="宋体" w:cs="Arial"/>
          <w:sz w:val="24"/>
        </w:rPr>
        <w:drawing>
          <wp:inline distT="0" distB="0" distL="114300" distR="114300">
            <wp:extent cx="2781300" cy="1914525"/>
            <wp:effectExtent l="0" t="0" r="0" b="9525"/>
            <wp:docPr id="37"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42"/>
                    <pic:cNvPicPr>
                      <a:picLocks noChangeAspect="1" noChangeArrowheads="1"/>
                    </pic:cNvPicPr>
                  </pic:nvPicPr>
                  <pic:blipFill>
                    <a:blip r:embed="rId91" cstate="print"/>
                    <a:srcRect/>
                    <a:stretch>
                      <a:fillRect/>
                    </a:stretch>
                  </pic:blipFill>
                  <pic:spPr>
                    <a:xfrm>
                      <a:off x="0" y="0"/>
                      <a:ext cx="2781300" cy="1914525"/>
                    </a:xfrm>
                    <a:prstGeom prst="rect">
                      <a:avLst/>
                    </a:prstGeom>
                    <a:noFill/>
                    <a:ln w="9525">
                      <a:noFill/>
                      <a:miter lim="800000"/>
                      <a:headEnd/>
                      <a:tailEnd/>
                    </a:ln>
                  </pic:spPr>
                </pic:pic>
              </a:graphicData>
            </a:graphic>
          </wp:inline>
        </w:drawing>
      </w:r>
    </w:p>
    <w:p>
      <w:pPr>
        <w:ind w:firstLine="632" w:firstLineChars="200"/>
        <w:rPr>
          <w:rFonts w:ascii="仿宋_GB2312" w:hAnsi="仿宋_GB2312" w:eastAsia="仿宋_GB2312" w:cs="仿宋_GB2312"/>
          <w:sz w:val="32"/>
          <w:szCs w:val="32"/>
        </w:rPr>
      </w:pPr>
    </w:p>
    <w:p>
      <w:pPr>
        <w:ind w:firstLine="632" w:firstLineChars="200"/>
        <w:rPr>
          <w:rFonts w:ascii="仿宋_GB2312" w:hAnsi="仿宋_GB2312" w:eastAsia="仿宋_GB2312" w:cs="仿宋_GB2312"/>
          <w:sz w:val="32"/>
          <w:szCs w:val="32"/>
        </w:rPr>
      </w:pPr>
    </w:p>
    <w:p>
      <w:pPr>
        <w:ind w:firstLine="632" w:firstLineChars="200"/>
        <w:rPr>
          <w:rFonts w:ascii="仿宋_GB2312" w:hAnsi="仿宋_GB2312" w:eastAsia="仿宋_GB2312" w:cs="仿宋_GB2312"/>
          <w:sz w:val="32"/>
          <w:szCs w:val="32"/>
        </w:rPr>
      </w:pPr>
    </w:p>
    <w:p>
      <w:pPr>
        <w:ind w:firstLine="632" w:firstLineChars="200"/>
        <w:rPr>
          <w:rFonts w:ascii="仿宋_GB2312" w:hAnsi="仿宋_GB2312" w:eastAsia="仿宋_GB2312" w:cs="仿宋_GB2312"/>
          <w:sz w:val="32"/>
          <w:szCs w:val="32"/>
        </w:rPr>
      </w:pPr>
    </w:p>
    <w:p>
      <w:pPr>
        <w:ind w:firstLine="632" w:firstLineChars="200"/>
        <w:rPr>
          <w:rFonts w:ascii="仿宋_GB2312" w:hAnsi="仿宋_GB2312" w:eastAsia="仿宋_GB2312" w:cs="仿宋_GB2312"/>
          <w:sz w:val="32"/>
          <w:szCs w:val="32"/>
        </w:rPr>
      </w:pP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6）破袋破碎机</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该机可将垃圾中未打开的袋装垃圾的塑料袋全部打开，并将粘在塑料上的杂物打散，将粒径大于60mm的有机物全部打碎至60mm以下。三节锤刀遇硬可弯，使其它垃圾破损率降到最低，为下工序的垃圾风选打下良好的基础。经破袋破碎机处理后的垃圾自然下落至综合分选机，并与整流后的扁平气流垂直相遇。根据比重不同、落点不同，破碎后垃圾粒径不同、成分不同的原理，通过风选装置、粒选装置、磁选装置，可将城市各种垃圾分选为：无机物、铁磁物（包括电池类）、砂土类垃圾、有机物、不可回收类可燃物、薄膜塑料类轻质垃圾等。</w:t>
      </w:r>
    </w:p>
    <w:p>
      <w:pPr>
        <w:widowControl/>
        <w:shd w:val="clear" w:color="auto" w:fill="FFFFFF"/>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3923030" cy="2028825"/>
            <wp:effectExtent l="0" t="0" r="1270" b="9525"/>
            <wp:docPr id="38" name="图片 38" descr="1560848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560848132(1)"/>
                    <pic:cNvPicPr>
                      <a:picLocks noChangeAspect="1"/>
                    </pic:cNvPicPr>
                  </pic:nvPicPr>
                  <pic:blipFill>
                    <a:blip r:embed="rId92" cstate="print"/>
                    <a:stretch>
                      <a:fillRect/>
                    </a:stretch>
                  </pic:blipFill>
                  <pic:spPr>
                    <a:xfrm>
                      <a:off x="0" y="0"/>
                      <a:ext cx="3923030" cy="2028825"/>
                    </a:xfrm>
                    <a:prstGeom prst="rect">
                      <a:avLst/>
                    </a:prstGeom>
                  </pic:spPr>
                </pic:pic>
              </a:graphicData>
            </a:graphic>
          </wp:inline>
        </w:drawing>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（7）风选机</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由加料皮带输送机、循环鼓风机、分鼓器、集尘扩展室、排气室、轻组分皮带输送机、分选室、空气回转风管、空气喷嘴、防护栏杆及检修平台、各部件的安装底座或平台、电气控制等组成。是一种根据物质密度将物料分类的装置，本系统用于筛分后的轻、重组分的分离。</w:t>
      </w:r>
    </w:p>
    <w:p>
      <w:pPr>
        <w:ind w:firstLine="472" w:firstLineChars="200"/>
        <w:rPr>
          <w:rFonts w:ascii="微软雅黑" w:hAnsi="微软雅黑" w:eastAsia="微软雅黑" w:cs="宋体"/>
          <w:spacing w:val="8"/>
          <w:kern w:val="0"/>
          <w:sz w:val="26"/>
          <w:szCs w:val="26"/>
        </w:rPr>
      </w:pPr>
      <w:r>
        <w:rPr>
          <w:rFonts w:hint="eastAsia" w:cs="Arial" w:asciiTheme="minorEastAsia" w:hAnsiTheme="minorEastAsia"/>
          <w:sz w:val="24"/>
        </w:rPr>
        <w:drawing>
          <wp:anchor distT="0" distB="0" distL="114300" distR="114300" simplePos="0" relativeHeight="252296192" behindDoc="0" locked="0" layoutInCell="1" allowOverlap="1">
            <wp:simplePos x="0" y="0"/>
            <wp:positionH relativeFrom="column">
              <wp:posOffset>825500</wp:posOffset>
            </wp:positionH>
            <wp:positionV relativeFrom="paragraph">
              <wp:posOffset>120015</wp:posOffset>
            </wp:positionV>
            <wp:extent cx="3648075" cy="1898650"/>
            <wp:effectExtent l="0" t="0" r="9525" b="6350"/>
            <wp:wrapTopAndBottom/>
            <wp:docPr id="43" name="图片 7" descr="E:\2017年项目\北京环卫集团新疆焚烧预处理项目20170330\正压风选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descr="E:\2017年项目\北京环卫集团新疆焚烧预处理项目20170330\正压风选机.jpg"/>
                    <pic:cNvPicPr>
                      <a:picLocks noChangeAspect="1" noChangeArrowheads="1"/>
                    </pic:cNvPicPr>
                  </pic:nvPicPr>
                  <pic:blipFill>
                    <a:blip r:embed="rId93" cstate="print"/>
                    <a:srcRect/>
                    <a:stretch>
                      <a:fillRect/>
                    </a:stretch>
                  </pic:blipFill>
                  <pic:spPr>
                    <a:xfrm>
                      <a:off x="0" y="0"/>
                      <a:ext cx="3648075" cy="1898650"/>
                    </a:xfrm>
                    <a:prstGeom prst="rect">
                      <a:avLst/>
                    </a:prstGeom>
                    <a:noFill/>
                    <a:ln w="9525">
                      <a:noFill/>
                      <a:miter lim="800000"/>
                      <a:headEnd/>
                      <a:tailEnd/>
                    </a:ln>
                  </pic:spPr>
                </pic:pic>
              </a:graphicData>
            </a:graphic>
          </wp:anchor>
        </w:drawing>
      </w:r>
    </w:p>
    <w:p>
      <w:pPr>
        <w:ind w:firstLine="632" w:firstLineChars="200"/>
        <w:rPr>
          <w:rFonts w:ascii="仿宋_GB2312" w:hAnsi="仿宋_GB2312" w:eastAsia="仿宋_GB2312" w:cs="仿宋_GB2312"/>
          <w:b/>
          <w:bCs/>
          <w:sz w:val="32"/>
          <w:szCs w:val="32"/>
        </w:rPr>
      </w:pPr>
      <w:bookmarkStart w:id="800" w:name="_Toc31424_WPSOffice_Level3"/>
      <w:bookmarkStart w:id="801" w:name="_Toc14786_WPSOffice_Level3"/>
      <w:bookmarkStart w:id="802" w:name="_Toc18478_WPSOffice_Level3"/>
      <w:bookmarkStart w:id="803" w:name="_Toc11230_WPSOffice_Level3"/>
      <w:r>
        <w:rPr>
          <w:rFonts w:hint="eastAsia" w:ascii="仿宋_GB2312" w:hAnsi="仿宋_GB2312" w:eastAsia="仿宋_GB2312" w:cs="仿宋_GB2312"/>
          <w:b/>
          <w:bCs/>
          <w:sz w:val="32"/>
          <w:szCs w:val="32"/>
        </w:rPr>
        <w:t>7.4.4好氧堆肥系统</w:t>
      </w:r>
      <w:bookmarkEnd w:id="800"/>
      <w:bookmarkEnd w:id="801"/>
      <w:bookmarkEnd w:id="802"/>
      <w:bookmarkEnd w:id="803"/>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好氧堆肥是在有氧的条件下，由好氧微生物的作用来进行有机物质的降解，堆肥的温度高，一般在50～65℃，亦称为高温堆肥。经堆肥处理形成的肥料，打包后用箱式货车运至肥料厂出售。</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本项目经分类后产生的厨余垃圾直接打包运至餐厨垃圾处理厂进行堆肥处理。</w:t>
      </w:r>
    </w:p>
    <w:p>
      <w:pPr>
        <w:ind w:firstLine="632" w:firstLineChars="200"/>
        <w:rPr>
          <w:rFonts w:ascii="仿宋_GB2312" w:hAnsi="仿宋_GB2312" w:eastAsia="仿宋_GB2312" w:cs="仿宋_GB2312"/>
          <w:b/>
          <w:bCs/>
          <w:sz w:val="32"/>
          <w:szCs w:val="32"/>
        </w:rPr>
      </w:pPr>
      <w:bookmarkStart w:id="804" w:name="_Toc11824_WPSOffice_Level3"/>
      <w:bookmarkStart w:id="805" w:name="_Toc26325_WPSOffice_Level3"/>
      <w:bookmarkStart w:id="806" w:name="_Toc27418_WPSOffice_Level3"/>
      <w:bookmarkStart w:id="807" w:name="_Toc29359_WPSOffice_Level3"/>
      <w:r>
        <w:rPr>
          <w:rFonts w:hint="eastAsia" w:ascii="仿宋_GB2312" w:hAnsi="仿宋_GB2312" w:eastAsia="仿宋_GB2312" w:cs="仿宋_GB2312"/>
          <w:b/>
          <w:bCs/>
          <w:sz w:val="32"/>
          <w:szCs w:val="32"/>
        </w:rPr>
        <w:t>7.4.5无机物垃圾填埋</w:t>
      </w:r>
      <w:bookmarkEnd w:id="804"/>
      <w:bookmarkEnd w:id="805"/>
      <w:bookmarkEnd w:id="806"/>
      <w:bookmarkEnd w:id="807"/>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垃圾分拣处理厂经分选回收可利用再生的物质之后，剩下一些不可回收的无机垃圾少量玻璃砂石类，使用收运平板汽车送填埋厂填埋。</w:t>
      </w:r>
    </w:p>
    <w:p>
      <w:pPr>
        <w:ind w:firstLine="632" w:firstLineChars="200"/>
        <w:rPr>
          <w:rFonts w:ascii="仿宋_GB2312" w:hAnsi="仿宋_GB2312" w:eastAsia="仿宋_GB2312" w:cs="仿宋_GB2312"/>
          <w:b/>
          <w:bCs/>
          <w:sz w:val="32"/>
          <w:szCs w:val="32"/>
        </w:rPr>
      </w:pPr>
      <w:bookmarkStart w:id="808" w:name="_Toc7487_WPSOffice_Level3"/>
      <w:bookmarkStart w:id="809" w:name="_Toc16060_WPSOffice_Level3"/>
      <w:bookmarkStart w:id="810" w:name="_Toc18406_WPSOffice_Level3"/>
      <w:bookmarkStart w:id="811" w:name="_Toc29500_WPSOffice_Level3"/>
      <w:r>
        <w:rPr>
          <w:rFonts w:hint="eastAsia" w:ascii="仿宋_GB2312" w:hAnsi="仿宋_GB2312" w:eastAsia="仿宋_GB2312" w:cs="仿宋_GB2312"/>
          <w:b/>
          <w:bCs/>
          <w:sz w:val="32"/>
          <w:szCs w:val="32"/>
        </w:rPr>
        <w:t>7.4.6塑料类垃圾回收</w:t>
      </w:r>
      <w:bookmarkEnd w:id="808"/>
      <w:bookmarkEnd w:id="809"/>
      <w:bookmarkEnd w:id="810"/>
      <w:bookmarkEnd w:id="811"/>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分拣处理厂经过全自动化机械化分选设备分选后的塑料类垃圾，本项目集中收集打包销售。垃圾中分选出来的废旧塑料经过全自动打包机打包后可直接用收运平板汽车送至废品收购站回收利用。废旧塑料全自动打包系统能够实现压缩捆包无人化作业，塑料经压缩捆包后，容易储存堆放并降低运输成本。可自由设定包块长度，准确记录打包数值。独特的自动捆包装置，速度快，结构简单，动作稳定，故障率低且易于清洁保养。</w:t>
      </w:r>
    </w:p>
    <w:p>
      <w:pPr>
        <w:ind w:firstLine="632" w:firstLineChars="200"/>
        <w:rPr>
          <w:rFonts w:ascii="仿宋_GB2312" w:hAnsi="仿宋_GB2312" w:eastAsia="仿宋_GB2312" w:cs="仿宋_GB2312"/>
          <w:b/>
          <w:bCs/>
          <w:sz w:val="32"/>
          <w:szCs w:val="32"/>
        </w:rPr>
      </w:pPr>
      <w:bookmarkStart w:id="812" w:name="_Toc3983_WPSOffice_Level3"/>
      <w:bookmarkStart w:id="813" w:name="_Toc19330_WPSOffice_Level3"/>
      <w:bookmarkStart w:id="814" w:name="_Toc22079_WPSOffice_Level3"/>
      <w:bookmarkStart w:id="815" w:name="_Toc7627_WPSOffice_Level3"/>
      <w:r>
        <w:rPr>
          <w:rFonts w:hint="eastAsia" w:ascii="仿宋_GB2312" w:hAnsi="仿宋_GB2312" w:eastAsia="仿宋_GB2312" w:cs="仿宋_GB2312"/>
          <w:b/>
          <w:bCs/>
          <w:sz w:val="32"/>
          <w:szCs w:val="32"/>
        </w:rPr>
        <w:t>7.4.7废旧金属铁磁类回收</w:t>
      </w:r>
      <w:bookmarkEnd w:id="812"/>
      <w:bookmarkEnd w:id="813"/>
      <w:bookmarkEnd w:id="814"/>
      <w:bookmarkEnd w:id="815"/>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通过垃圾分拣处理厂分选系统分选后的废旧金属类先行存放，等存有一定数量后使用回收平板车运至废旧金属回收站变废为宝，不仅增加收入，同时也到达了回收资源化。</w:t>
      </w:r>
    </w:p>
    <w:p>
      <w:pPr>
        <w:ind w:firstLine="632" w:firstLineChars="200"/>
        <w:rPr>
          <w:rFonts w:ascii="仿宋_GB2312" w:hAnsi="仿宋_GB2312" w:eastAsia="仿宋_GB2312" w:cs="仿宋_GB2312"/>
          <w:b/>
          <w:bCs/>
          <w:sz w:val="32"/>
          <w:szCs w:val="32"/>
        </w:rPr>
      </w:pPr>
      <w:bookmarkStart w:id="816" w:name="_Toc7979_WPSOffice_Level3"/>
      <w:bookmarkStart w:id="817" w:name="_Toc14687_WPSOffice_Level3"/>
      <w:bookmarkStart w:id="818" w:name="_Toc28215_WPSOffice_Level3"/>
      <w:bookmarkStart w:id="819" w:name="_Toc813_WPSOffice_Level3"/>
      <w:r>
        <w:rPr>
          <w:rFonts w:hint="eastAsia" w:ascii="仿宋_GB2312" w:hAnsi="仿宋_GB2312" w:eastAsia="仿宋_GB2312" w:cs="仿宋_GB2312"/>
          <w:b/>
          <w:bCs/>
          <w:sz w:val="32"/>
          <w:szCs w:val="32"/>
        </w:rPr>
        <w:t>7.4.8噪声防治措施</w:t>
      </w:r>
      <w:bookmarkEnd w:id="816"/>
      <w:bookmarkEnd w:id="817"/>
      <w:bookmarkEnd w:id="818"/>
      <w:bookmarkEnd w:id="819"/>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垃圾分拣处理厂内主要的噪声源为如泵、风机、空压机等动力机械性噪声。</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项目拟采取的噪声防治措施如下：</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（1）工程设计上选用低噪声生产设备，特别是风机的选型。</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（2）在厂区的总平布局设计上，考虑将噪声较大的设备尽可能布置在远离厂界及居民的地方，以尽量减小噪声对周边环境和居民的影响。</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（3）鼓风机及引风机安装基础进行减振处理，风机加装隔声罩以及消声器，确保隔声和消声综合降噪。</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（4）采用先进的垃圾运输车辆，同时通过合理选择运输路线，运输路线尽量避开人群集中的地段，限制车速，严禁鸣笛，以及合理选择垃圾运输时间禁止夜间运输等措施减少垃圾运输对运输沿线敏感点的影响。</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（5）厂区内的绿化灌木种植面积大约40%左右，设置绿化隔离带，在美化环境的同时可起到一定的降噪作用。</w:t>
      </w:r>
    </w:p>
    <w:p>
      <w:pPr>
        <w:ind w:firstLine="632" w:firstLineChars="200"/>
        <w:rPr>
          <w:rFonts w:ascii="仿宋_GB2312" w:hAnsi="仿宋_GB2312" w:eastAsia="仿宋_GB2312" w:cs="仿宋_GB2312"/>
          <w:b/>
          <w:bCs/>
          <w:sz w:val="32"/>
          <w:szCs w:val="32"/>
        </w:rPr>
      </w:pPr>
      <w:bookmarkStart w:id="820" w:name="_Toc14953_WPSOffice_Level3"/>
      <w:bookmarkStart w:id="821" w:name="_Toc24579_WPSOffice_Level3"/>
      <w:bookmarkStart w:id="822" w:name="_Toc10887_WPSOffice_Level3"/>
      <w:bookmarkStart w:id="823" w:name="_Toc32261_WPSOffice_Level3"/>
      <w:r>
        <w:rPr>
          <w:rFonts w:hint="eastAsia" w:ascii="仿宋_GB2312" w:hAnsi="仿宋_GB2312" w:eastAsia="仿宋_GB2312" w:cs="仿宋_GB2312"/>
          <w:b/>
          <w:bCs/>
          <w:sz w:val="32"/>
          <w:szCs w:val="32"/>
        </w:rPr>
        <w:t>7.4.9臭气扬尘防治措施</w:t>
      </w:r>
      <w:bookmarkEnd w:id="820"/>
      <w:bookmarkEnd w:id="821"/>
      <w:bookmarkEnd w:id="822"/>
      <w:bookmarkEnd w:id="823"/>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垃圾分拣处理厂的臭气扬尘主要来自垃圾贮坑内以及垃圾运输途中的无组织散发。项目采取的防治措施主要有：</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（1）针对垃圾坑中垃圾堆存期间产生的臭气以及卸料产生的扬尘，采取对垃圾卸料大厅、垃圾贮坑实行严格的全封闭负压密闭设计；要求垃圾库房进出门处设置贯流风幕，加强垃圾卸料大厅的密闭性。</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定时开启植物液喷洒系统除尘除臭，预处理系统的垃圾暂存仓和垃圾运输车在卸料过程中散发出带恶臭气体及粉尘较大的区域，经除臭剂通过专用设备及雾化装置喷洒到异味空间，通过定时雾化喷洒除臭剂，吸附异味分子。车间采用强制通风负压吸风，由于抽风机的作用，整个车间相对密闭，车间呈负压状态，臭味得到有效控制。</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采用植物液洗涤除尘除臭系统，引风机通过风管和集气装置负压收集恶臭及扬尘，汇集到除臭塔进封口，金属网罩除尘后，气体由下至上缓慢流过填料，与填料上的水膜充分接触，利用植物液分子吸附的方法去除臭味气体，气体处理后达标排放。</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（4）厂区内及周边加强绿化设计大量植被对恶臭废气有一定的吸附作用。</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（5）要求垃圾运输车辆采用密封型的车辆，运输过程应严禁敞开。</w:t>
      </w:r>
    </w:p>
    <w:p>
      <w:pPr>
        <w:ind w:firstLine="632" w:firstLineChars="200"/>
        <w:rPr>
          <w:rFonts w:ascii="仿宋_GB2312" w:hAnsi="仿宋_GB2312" w:eastAsia="仿宋_GB2312" w:cs="仿宋_GB2312"/>
          <w:b/>
          <w:bCs/>
          <w:sz w:val="32"/>
          <w:szCs w:val="32"/>
        </w:rPr>
      </w:pPr>
      <w:bookmarkStart w:id="824" w:name="_Toc21773_WPSOffice_Level3"/>
      <w:bookmarkStart w:id="825" w:name="_Toc16914_WPSOffice_Level3"/>
      <w:bookmarkStart w:id="826" w:name="_Toc15861_WPSOffice_Level3"/>
      <w:bookmarkStart w:id="827" w:name="_Toc21352_WPSOffice_Level3"/>
      <w:r>
        <w:rPr>
          <w:rFonts w:hint="eastAsia" w:ascii="仿宋_GB2312" w:hAnsi="仿宋_GB2312" w:eastAsia="仿宋_GB2312" w:cs="仿宋_GB2312"/>
          <w:b/>
          <w:bCs/>
          <w:sz w:val="32"/>
          <w:szCs w:val="32"/>
        </w:rPr>
        <w:t>7.4.10污水处理</w:t>
      </w:r>
      <w:bookmarkEnd w:id="824"/>
      <w:bookmarkEnd w:id="825"/>
      <w:bookmarkEnd w:id="826"/>
      <w:bookmarkEnd w:id="827"/>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污水主要是少量厂区生活污水，以及来自预处理产生的垃圾渗滤液，有机垃圾发酵处理系统产生的降解液，车间地面冲洗废水等。垃圾渗滤液依托已建成的渗滤液处理站进行无害化处理。车间地面冲洗废水及车辆冲洗废水统一收集后并入</w:t>
      </w:r>
      <w:r>
        <w:rPr>
          <w:rFonts w:hint="eastAsia" w:ascii="仿宋_GB2312" w:hAnsi="仿宋_GB2312" w:eastAsia="仿宋_GB2312" w:cs="仿宋_GB2312"/>
          <w:sz w:val="32"/>
          <w:szCs w:val="32"/>
          <w:lang w:val="zh-CN"/>
        </w:rPr>
        <w:t>市政</w:t>
      </w:r>
      <w:r>
        <w:rPr>
          <w:rFonts w:hint="eastAsia" w:ascii="仿宋_GB2312" w:hAnsi="仿宋_GB2312" w:eastAsia="仿宋_GB2312" w:cs="仿宋_GB2312"/>
          <w:sz w:val="32"/>
          <w:szCs w:val="32"/>
        </w:rPr>
        <w:t>污水管网。生活污水经化粪池后，由厂区内污水管网收集后并入</w:t>
      </w:r>
      <w:r>
        <w:rPr>
          <w:rFonts w:hint="eastAsia" w:ascii="仿宋_GB2312" w:hAnsi="仿宋_GB2312" w:eastAsia="仿宋_GB2312" w:cs="仿宋_GB2312"/>
          <w:sz w:val="32"/>
          <w:szCs w:val="32"/>
          <w:lang w:val="zh-CN"/>
        </w:rPr>
        <w:t>市政</w:t>
      </w:r>
      <w:r>
        <w:rPr>
          <w:rFonts w:hint="eastAsia" w:ascii="仿宋_GB2312" w:hAnsi="仿宋_GB2312" w:eastAsia="仿宋_GB2312" w:cs="仿宋_GB2312"/>
          <w:sz w:val="32"/>
          <w:szCs w:val="32"/>
        </w:rPr>
        <w:t>污水管网。</w:t>
      </w:r>
    </w:p>
    <w:p>
      <w:pPr>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（1）化粪池</w:t>
      </w:r>
    </w:p>
    <w:p>
      <w:pPr>
        <w:widowControl/>
        <w:shd w:val="clear" w:color="auto" w:fill="FFFFFF"/>
        <w:spacing w:line="383" w:lineRule="atLeast"/>
        <w:ind w:firstLine="480"/>
        <w:rPr>
          <w:rFonts w:ascii="仿宋_GB2312" w:hAnsi="仿宋_GB2312" w:eastAsia="仿宋_GB2312" w:cs="仿宋_GB2312"/>
          <w:sz w:val="32"/>
          <w:szCs w:val="32"/>
        </w:rPr>
      </w:pPr>
      <w:r>
        <w:rPr>
          <w:rFonts w:hint="eastAsia" w:ascii="仿宋_GB2312" w:hAnsi="仿宋_GB2312" w:eastAsia="仿宋_GB2312" w:cs="仿宋_GB2312"/>
          <w:sz w:val="32"/>
          <w:szCs w:val="32"/>
        </w:rPr>
        <w:t>化粪池是利用沉淀和厌氧发酵原理去除生活污水中悬浮性有机物的处理设备。高效波纹玻璃钢化粪器内部设有隔板，隔板上的孔上下错位，不易形成短流，并将整下罐体分成三部分；一级厌氧室、二级厌氧室和澄清室，一级、二级厌氧室底部相通，内部加有“</w:t>
      </w:r>
      <w:r>
        <w:rPr>
          <w:rFonts w:ascii="仿宋_GB2312" w:hAnsi="仿宋_GB2312" w:eastAsia="仿宋_GB2312" w:cs="仿宋_GB2312"/>
          <w:sz w:val="32"/>
          <w:szCs w:val="32"/>
        </w:rPr>
        <w:t>MDS专用特型填料”。这样的分隔减少了污水与污泥的接触时间，使酸性发酵和碱性发酵两个过程互不干扰，同时填料的存在增加了污水污泥与厌氧菌的接触表面积，大大提高了反应效率。</w:t>
      </w:r>
    </w:p>
    <w:p>
      <w:pPr>
        <w:pStyle w:val="4"/>
        <w:spacing w:before="0" w:after="0" w:line="360" w:lineRule="auto"/>
        <w:ind w:firstLine="632" w:firstLineChars="200"/>
        <w:rPr>
          <w:rFonts w:ascii="黑体" w:hAnsi="黑体"/>
          <w:b w:val="0"/>
          <w:bCs/>
          <w:szCs w:val="32"/>
        </w:rPr>
      </w:pPr>
      <w:bookmarkStart w:id="828" w:name="_Toc23711_WPSOffice_Level2"/>
      <w:bookmarkStart w:id="829" w:name="_Toc415824662"/>
      <w:bookmarkStart w:id="830" w:name="_Toc23471_WPSOffice_Level2"/>
      <w:bookmarkStart w:id="831" w:name="_Toc393874748"/>
      <w:bookmarkStart w:id="832" w:name="_Toc341191260"/>
      <w:bookmarkStart w:id="833" w:name="_Toc14131_WPSOffice_Level1"/>
      <w:bookmarkStart w:id="834" w:name="_Toc27411_WPSOffice_Level1"/>
      <w:r>
        <w:rPr>
          <w:rFonts w:hint="eastAsia" w:ascii="黑体" w:hAnsi="黑体"/>
          <w:b w:val="0"/>
          <w:bCs/>
          <w:szCs w:val="32"/>
        </w:rPr>
        <w:t>7.5项目地理位置</w:t>
      </w:r>
      <w:bookmarkEnd w:id="828"/>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该项目分拣中心建设选址位于创业大道以南，东经二路以西。选址原则满足相关规范要求：</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（1）国家法律、法规、行政规章及规划所确定的，或县级以上人民政府批准的自然保护区、生态功能保护区、风景名胜区、文化遗产区、饮用水水源保护区等需要特殊保护的地区不做选址建设。</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（2）当地饮用水取水点的上游地段不做选址建设。</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（3）距离居民区1000米以内的地区不宜选址建设。</w:t>
      </w:r>
    </w:p>
    <w:p>
      <w:pPr>
        <w:pStyle w:val="4"/>
        <w:spacing w:before="0" w:after="0" w:line="360" w:lineRule="auto"/>
        <w:ind w:firstLine="632" w:firstLineChars="200"/>
        <w:rPr>
          <w:rFonts w:ascii="黑体" w:hAnsi="黑体"/>
          <w:b w:val="0"/>
          <w:bCs/>
          <w:szCs w:val="32"/>
        </w:rPr>
      </w:pPr>
      <w:r>
        <w:rPr>
          <w:rFonts w:hint="eastAsia" w:ascii="黑体" w:hAnsi="黑体"/>
          <w:b w:val="0"/>
          <w:bCs/>
          <w:szCs w:val="32"/>
        </w:rPr>
        <w:t>7.6自然、社会环境</w:t>
      </w:r>
      <w:bookmarkEnd w:id="829"/>
      <w:bookmarkEnd w:id="830"/>
      <w:bookmarkEnd w:id="831"/>
      <w:bookmarkEnd w:id="832"/>
    </w:p>
    <w:p>
      <w:pPr>
        <w:spacing w:line="578" w:lineRule="exact"/>
        <w:ind w:firstLine="632" w:firstLineChars="200"/>
        <w:rPr>
          <w:rFonts w:ascii="仿宋_GB2312" w:hAnsi="仿宋_GB2312" w:eastAsia="仿宋_GB2312" w:cs="仿宋_GB2312"/>
          <w:sz w:val="32"/>
          <w:szCs w:val="32"/>
        </w:rPr>
      </w:pPr>
      <w:bookmarkStart w:id="835" w:name="_Toc415824663"/>
      <w:bookmarkStart w:id="836" w:name="_Toc341191261"/>
      <w:bookmarkStart w:id="837" w:name="_Toc29141_WPSOffice_Level3"/>
      <w:bookmarkStart w:id="838" w:name="_Toc393874749"/>
      <w:bookmarkStart w:id="839" w:name="_Toc31614_WPSOffice_Level3"/>
      <w:bookmarkStart w:id="840" w:name="_Toc6254_WPSOffice_Level3"/>
      <w:r>
        <w:rPr>
          <w:rFonts w:hint="eastAsia" w:ascii="仿宋_GB2312" w:hAnsi="仿宋_GB2312" w:eastAsia="仿宋_GB2312" w:cs="仿宋_GB2312"/>
          <w:sz w:val="32"/>
          <w:szCs w:val="32"/>
        </w:rPr>
        <w:t>（1）地理气候条件</w:t>
      </w:r>
      <w:bookmarkEnd w:id="835"/>
      <w:bookmarkEnd w:id="836"/>
      <w:bookmarkEnd w:id="837"/>
      <w:bookmarkEnd w:id="838"/>
      <w:bookmarkEnd w:id="839"/>
      <w:bookmarkEnd w:id="84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属温带大陆性荒漠气候，年均气温在6.7℃—7.7℃之间，极端最高气温38.7℃（1973年7月31日），最低气温-31.6℃（1952年2月18日）。昼夜温差10-15℃。年日照8000小时。自然降水量年平均85.3毫米，蒸发量2149毫米，年平均蒸发量约为降水量的25倍。全年无霜期130天左右。主要气候特征为：日照时间长而强烈，昼夜温差大，气候干燥，降水少而蒸发快，多大风，属典型的戈壁荒漠气候。温度：极端最高温度38.6 C</w:t>
      </w:r>
      <w:r>
        <w:rPr>
          <w:rFonts w:hint="eastAsia" w:ascii="仿宋_GB2312" w:hAnsi="仿宋_GB2312" w:eastAsia="仿宋_GB2312" w:cs="仿宋_GB2312"/>
          <w:sz w:val="32"/>
          <w:szCs w:val="32"/>
          <w:vertAlign w:val="superscript"/>
        </w:rPr>
        <w:t>0</w:t>
      </w:r>
      <w:r>
        <w:rPr>
          <w:rFonts w:hint="eastAsia" w:ascii="仿宋_GB2312" w:hAnsi="仿宋_GB2312" w:eastAsia="仿宋_GB2312" w:cs="仿宋_GB2312"/>
          <w:sz w:val="32"/>
          <w:szCs w:val="32"/>
        </w:rPr>
        <w:t>。极端最低温度-29.8 C</w:t>
      </w:r>
      <w:r>
        <w:rPr>
          <w:rFonts w:hint="eastAsia" w:ascii="仿宋_GB2312" w:hAnsi="仿宋_GB2312" w:eastAsia="仿宋_GB2312" w:cs="仿宋_GB2312"/>
          <w:sz w:val="32"/>
          <w:szCs w:val="32"/>
          <w:vertAlign w:val="superscript"/>
        </w:rPr>
        <w:t>0</w:t>
      </w:r>
      <w:r>
        <w:rPr>
          <w:rFonts w:hint="eastAsia" w:ascii="仿宋_GB2312" w:hAnsi="仿宋_GB2312" w:eastAsia="仿宋_GB2312" w:cs="仿宋_GB2312"/>
          <w:sz w:val="32"/>
          <w:szCs w:val="32"/>
        </w:rPr>
        <w:t>。年降雨量：85.3mm。常年主导风向：C,WSW。</w:t>
      </w:r>
    </w:p>
    <w:p>
      <w:pPr>
        <w:spacing w:line="578" w:lineRule="exact"/>
        <w:ind w:firstLine="632" w:firstLineChars="200"/>
        <w:rPr>
          <w:rFonts w:ascii="仿宋_GB2312" w:hAnsi="仿宋_GB2312" w:eastAsia="仿宋_GB2312" w:cs="仿宋_GB2312"/>
          <w:sz w:val="32"/>
          <w:szCs w:val="32"/>
        </w:rPr>
      </w:pPr>
      <w:bookmarkStart w:id="841" w:name="_Toc30485_WPSOffice_Level3"/>
      <w:bookmarkStart w:id="842" w:name="_Toc7569_WPSOffice_Level3"/>
      <w:bookmarkStart w:id="843" w:name="_Toc30252_WPSOffice_Level3"/>
      <w:r>
        <w:rPr>
          <w:rFonts w:hint="eastAsia" w:ascii="仿宋_GB2312" w:hAnsi="仿宋_GB2312" w:eastAsia="仿宋_GB2312" w:cs="仿宋_GB2312"/>
          <w:sz w:val="32"/>
          <w:szCs w:val="32"/>
        </w:rPr>
        <w:t>（2）道路网络和市政条件</w:t>
      </w:r>
      <w:bookmarkEnd w:id="841"/>
      <w:bookmarkEnd w:id="842"/>
      <w:bookmarkEnd w:id="843"/>
      <w:bookmarkStart w:id="844" w:name="_Toc20163_WPSOffice_Level3"/>
      <w:bookmarkStart w:id="845" w:name="_Toc6685_WPSOffice_Level3"/>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分拣中心项目选址北侧紧邻创业大道，东侧临东经二路，南侧和西侧均为规划用地。道路条件便捷，为城市主次道路衔接顺畅。场地条件良好，无不良地质场地，场地地形开阔，场地平坦，有利于项目建设。</w:t>
      </w:r>
    </w:p>
    <w:p>
      <w:pPr>
        <w:spacing w:line="578" w:lineRule="exact"/>
        <w:ind w:firstLine="632" w:firstLineChars="200"/>
        <w:rPr>
          <w:rFonts w:ascii="仿宋_GB2312" w:hAnsi="仿宋_GB2312" w:eastAsia="仿宋_GB2312" w:cs="仿宋_GB2312"/>
          <w:sz w:val="32"/>
          <w:szCs w:val="32"/>
        </w:rPr>
      </w:pPr>
      <w:bookmarkStart w:id="846" w:name="_Toc17_WPSOffice_Level3"/>
      <w:r>
        <w:rPr>
          <w:rFonts w:hint="eastAsia" w:ascii="仿宋_GB2312" w:hAnsi="仿宋_GB2312" w:eastAsia="仿宋_GB2312" w:cs="仿宋_GB2312"/>
          <w:sz w:val="32"/>
          <w:szCs w:val="32"/>
        </w:rPr>
        <w:t>（3）选址方案的可行性论证</w:t>
      </w:r>
      <w:bookmarkEnd w:id="844"/>
      <w:bookmarkEnd w:id="845"/>
      <w:bookmarkEnd w:id="846"/>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分拣中心项目选址地理位置适宜，周边市政设施完备，道路路网规划通畅，符合国家法律、法规、行政规章及规划所确定的，未在人民政府批准的自然保护区、生态功能保护区、风景名胜区、文化遗产区、饮用水水源保护区等需要特殊保护的地区选址建设。符合国家产业政策和环保要求，选址方案可行。</w:t>
      </w:r>
    </w:p>
    <w:p>
      <w:pPr>
        <w:pStyle w:val="4"/>
        <w:spacing w:before="0" w:after="0" w:line="360" w:lineRule="auto"/>
        <w:ind w:firstLine="632" w:firstLineChars="200"/>
        <w:rPr>
          <w:rFonts w:ascii="黑体" w:hAnsi="黑体"/>
          <w:b w:val="0"/>
          <w:bCs/>
          <w:szCs w:val="32"/>
        </w:rPr>
      </w:pPr>
      <w:bookmarkStart w:id="847" w:name="_Toc6320_WPSOffice_Level2"/>
      <w:r>
        <w:rPr>
          <w:rFonts w:hint="eastAsia" w:ascii="黑体" w:hAnsi="黑体"/>
          <w:b w:val="0"/>
          <w:bCs/>
          <w:szCs w:val="32"/>
        </w:rPr>
        <w:t>7.7分拣中心土建工程与公用设施</w:t>
      </w:r>
      <w:bookmarkEnd w:id="847"/>
    </w:p>
    <w:p>
      <w:pPr>
        <w:spacing w:line="578" w:lineRule="exact"/>
        <w:ind w:firstLine="632" w:firstLineChars="200"/>
        <w:rPr>
          <w:rFonts w:ascii="仿宋_GB2312" w:hAnsi="仿宋_GB2312" w:eastAsia="仿宋_GB2312" w:cs="仿宋_GB2312"/>
          <w:sz w:val="32"/>
          <w:szCs w:val="32"/>
        </w:rPr>
      </w:pPr>
      <w:bookmarkStart w:id="848" w:name="_Toc393874754"/>
      <w:bookmarkStart w:id="849" w:name="_Toc341191266"/>
      <w:bookmarkStart w:id="850" w:name="_Toc415824668"/>
      <w:r>
        <w:rPr>
          <w:rFonts w:hint="eastAsia" w:ascii="仿宋_GB2312" w:hAnsi="仿宋_GB2312" w:eastAsia="仿宋_GB2312" w:cs="仿宋_GB2312"/>
          <w:sz w:val="32"/>
          <w:szCs w:val="32"/>
        </w:rPr>
        <w:t>由于分拣中心是新建工程，本次设计着重打造一处地标性分拣中心建筑，提升城市形象。</w:t>
      </w:r>
      <w:bookmarkStart w:id="851" w:name="_Toc415824669"/>
      <w:bookmarkStart w:id="852" w:name="_Toc341191267"/>
      <w:bookmarkStart w:id="853" w:name="_Toc393874755"/>
    </w:p>
    <w:p>
      <w:pPr>
        <w:spacing w:line="578" w:lineRule="exact"/>
        <w:ind w:firstLine="632" w:firstLineChars="200"/>
        <w:rPr>
          <w:rFonts w:ascii="仿宋_GB2312" w:hAnsi="仿宋_GB2312" w:eastAsia="仿宋_GB2312" w:cs="仿宋_GB2312"/>
          <w:sz w:val="32"/>
          <w:szCs w:val="32"/>
        </w:rPr>
      </w:pPr>
      <w:bookmarkStart w:id="854" w:name="_Toc429_WPSOffice_Level3"/>
      <w:bookmarkStart w:id="855" w:name="_Toc6267_WPSOffice_Level3"/>
      <w:bookmarkStart w:id="856" w:name="_Toc26821_WPSOffice_Level3"/>
      <w:r>
        <w:rPr>
          <w:rFonts w:hint="eastAsia" w:ascii="仿宋_GB2312" w:hAnsi="仿宋_GB2312" w:eastAsia="仿宋_GB2312" w:cs="仿宋_GB2312"/>
          <w:sz w:val="32"/>
          <w:szCs w:val="32"/>
        </w:rPr>
        <w:t>7.7.1设计依据和条件</w:t>
      </w:r>
      <w:bookmarkEnd w:id="851"/>
      <w:bookmarkEnd w:id="852"/>
      <w:bookmarkEnd w:id="853"/>
      <w:r>
        <w:rPr>
          <w:rFonts w:hint="eastAsia" w:ascii="仿宋_GB2312" w:hAnsi="仿宋_GB2312" w:eastAsia="仿宋_GB2312" w:cs="仿宋_GB2312"/>
          <w:sz w:val="32"/>
          <w:szCs w:val="32"/>
        </w:rPr>
        <w:t>：</w:t>
      </w:r>
      <w:bookmarkEnd w:id="854"/>
      <w:bookmarkEnd w:id="855"/>
      <w:bookmarkEnd w:id="856"/>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（1）国家有关设计规范；</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（2）建设单位提供的有关气象、水文及工程地质资料；</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（3）根据水、暖、电、通讯等专业提供的管道、设备、布置及要求。</w:t>
      </w:r>
    </w:p>
    <w:p>
      <w:pPr>
        <w:spacing w:line="578" w:lineRule="exact"/>
        <w:ind w:firstLine="632" w:firstLineChars="200"/>
        <w:rPr>
          <w:rFonts w:ascii="仿宋_GB2312" w:hAnsi="仿宋_GB2312" w:eastAsia="仿宋_GB2312" w:cs="仿宋_GB2312"/>
          <w:sz w:val="32"/>
          <w:szCs w:val="32"/>
        </w:rPr>
      </w:pPr>
      <w:bookmarkStart w:id="857" w:name="_Toc341191268"/>
      <w:bookmarkStart w:id="858" w:name="_Toc415824670"/>
      <w:bookmarkStart w:id="859" w:name="_Toc393874756"/>
      <w:bookmarkStart w:id="860" w:name="_Toc14770_WPSOffice_Level3"/>
      <w:bookmarkStart w:id="861" w:name="_Toc10847_WPSOffice_Level3"/>
      <w:bookmarkStart w:id="862" w:name="_Toc32498_WPSOffice_Level3"/>
      <w:r>
        <w:rPr>
          <w:rFonts w:hint="eastAsia" w:ascii="仿宋_GB2312" w:hAnsi="仿宋_GB2312" w:eastAsia="仿宋_GB2312" w:cs="仿宋_GB2312"/>
          <w:sz w:val="32"/>
          <w:szCs w:val="32"/>
        </w:rPr>
        <w:t>7.7.2设计原则</w:t>
      </w:r>
      <w:bookmarkEnd w:id="857"/>
      <w:bookmarkEnd w:id="858"/>
      <w:bookmarkEnd w:id="859"/>
      <w:r>
        <w:rPr>
          <w:rFonts w:hint="eastAsia" w:ascii="仿宋_GB2312" w:hAnsi="仿宋_GB2312" w:eastAsia="仿宋_GB2312" w:cs="仿宋_GB2312"/>
          <w:sz w:val="32"/>
          <w:szCs w:val="32"/>
        </w:rPr>
        <w:t>：</w:t>
      </w:r>
      <w:bookmarkEnd w:id="860"/>
      <w:bookmarkEnd w:id="861"/>
      <w:bookmarkEnd w:id="862"/>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（1）严格执行国家有关规范、规程及标准，尽量采用国家或地区的标准设计及图集；</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（2）建筑设计应力求布置合理、经济可靠；</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（3）要满足防火、工业卫生、消防安全、通风采光等要求；</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（4）结构方案的确定，要根据功能划分、建筑设计的要求、设备布置情况，合理确定结构形式，并满足“适用、安全、可靠、经济”的原则，保证建筑物有足够的强度、刚度、耐久性、稳定性及抗震设防性能；</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（5）材料采用应首先考虑保温、防火等要素。</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本工程建筑结构设计方案选择和确定，根据使用功能要求，按照国家有关规范的规定，确定各建筑物结构，层数、层高等，确保满足操作、消防、卫生、安全、采光、通风等要求。</w:t>
      </w:r>
    </w:p>
    <w:p>
      <w:pPr>
        <w:spacing w:line="578" w:lineRule="exact"/>
        <w:ind w:firstLine="632" w:firstLineChars="200"/>
        <w:rPr>
          <w:rFonts w:ascii="仿宋_GB2312" w:hAnsi="仿宋_GB2312" w:eastAsia="仿宋_GB2312" w:cs="仿宋_GB2312"/>
          <w:sz w:val="32"/>
          <w:szCs w:val="32"/>
        </w:rPr>
      </w:pPr>
      <w:bookmarkStart w:id="863" w:name="_Toc24895_WPSOffice_Level3"/>
      <w:bookmarkStart w:id="864" w:name="_Toc18697_WPSOffice_Level3"/>
      <w:bookmarkStart w:id="865" w:name="_Toc27949_WPSOffice_Level3"/>
      <w:r>
        <w:rPr>
          <w:rFonts w:hint="eastAsia" w:ascii="仿宋_GB2312" w:hAnsi="仿宋_GB2312" w:eastAsia="仿宋_GB2312" w:cs="仿宋_GB2312"/>
          <w:sz w:val="32"/>
          <w:szCs w:val="32"/>
        </w:rPr>
        <w:t>7.7.3设计理念</w:t>
      </w:r>
      <w:bookmarkEnd w:id="863"/>
      <w:bookmarkEnd w:id="864"/>
      <w:bookmarkEnd w:id="865"/>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整体设计上，分拣中心车间及加工存储区仓库采用门式钢架结构，综合楼及辅助用房采用钢筋混凝土框架结构，二者在建筑外形上成为相对独立又不失统一。在建筑形体设计上，力求简洁大气，又不缺变化，从而打破仓储建筑一贯的僵硬感，符合大众的审美要求，体现建筑自身的功能特色。在建筑色彩方面，主要是考虑大范围运用仓储建筑惯用的浅色系，底部配有深灰色底座，屋面采用浅蓝色彩钢屋面板，使建筑看上去既不呆板又不失稳重。综合办公楼和展示及交易用房的立面造型力求简洁明快，整体上与分拣中心分选车间和加工存储区的色调风格呼应统一。</w:t>
      </w:r>
    </w:p>
    <w:bookmarkEnd w:id="848"/>
    <w:bookmarkEnd w:id="849"/>
    <w:bookmarkEnd w:id="850"/>
    <w:p>
      <w:pPr>
        <w:spacing w:line="578" w:lineRule="exact"/>
        <w:ind w:firstLine="632" w:firstLineChars="200"/>
        <w:rPr>
          <w:rFonts w:ascii="仿宋_GB2312" w:hAnsi="仿宋_GB2312" w:eastAsia="仿宋_GB2312" w:cs="仿宋_GB2312"/>
          <w:sz w:val="32"/>
          <w:szCs w:val="32"/>
        </w:rPr>
      </w:pPr>
      <w:bookmarkStart w:id="866" w:name="_Toc10815_WPSOffice_Level3"/>
      <w:bookmarkStart w:id="867" w:name="_Toc19151_WPSOffice_Level3"/>
      <w:bookmarkStart w:id="868" w:name="_Toc10884_WPSOffice_Level3"/>
      <w:r>
        <w:rPr>
          <w:rFonts w:hint="eastAsia" w:ascii="仿宋_GB2312" w:hAnsi="仿宋_GB2312" w:eastAsia="仿宋_GB2312" w:cs="仿宋_GB2312"/>
          <w:sz w:val="32"/>
          <w:szCs w:val="32"/>
        </w:rPr>
        <w:t>7.7.4总图设计</w:t>
      </w:r>
      <w:bookmarkEnd w:id="866"/>
      <w:bookmarkEnd w:id="867"/>
      <w:bookmarkEnd w:id="868"/>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（1）总图设计原则：</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保证安全生产，方便管理，符合区域防护安全要求；遵循设计规范，功能分区明确；结合场地地形条件，布置集中紧凑，减少占地面积；依托预规划发展用地，充分整合利用资源配置，降低工程投资。</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（2）本工程±0.000相当的绝对标高待现场平整准确测量后确定。</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（3）本室外景观设计和绿化标高的确定应以不影响本设计的室外标高为原则。</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总图设计：分拣中心项目拟建地点选址位置交通运输十分便利。分拣中心由于前期条件不全，用地拟采用矩形，用地约18.00亩。整个地块拟设有一个主要出入口和一个次要出入口，主要出入口设在交通便利的主要进场道路一侧。后期可根据选址和用地现状优化次要出入口位置，主要出入口设置1 樘 10m 宽电动大门。围绕分选分拣车间、加工存储区仓库和综合办公建筑设置消防车道。建筑的四周可以让消防车直达扑救。功能分区分为：分选分拣区、加工存储区仓库区、有毒有害暂存区、综合业务办公区、辅助用房区及停车区。</w:t>
      </w:r>
    </w:p>
    <w:p>
      <w:pPr>
        <w:spacing w:line="578" w:lineRule="exact"/>
        <w:ind w:firstLine="632" w:firstLineChars="200"/>
        <w:rPr>
          <w:rFonts w:ascii="仿宋_GB2312" w:hAnsi="仿宋_GB2312" w:eastAsia="仿宋_GB2312" w:cs="仿宋_GB2312"/>
          <w:sz w:val="32"/>
          <w:szCs w:val="32"/>
        </w:rPr>
      </w:pPr>
      <w:bookmarkStart w:id="869" w:name="_Toc27624_WPSOffice_Level3"/>
      <w:bookmarkStart w:id="870" w:name="_Toc8168_WPSOffice_Level3"/>
      <w:bookmarkStart w:id="871" w:name="_Toc24667_WPSOffice_Level3"/>
      <w:r>
        <w:rPr>
          <w:rFonts w:hint="eastAsia" w:ascii="仿宋_GB2312" w:hAnsi="仿宋_GB2312" w:eastAsia="仿宋_GB2312" w:cs="仿宋_GB2312"/>
          <w:sz w:val="32"/>
          <w:szCs w:val="32"/>
        </w:rPr>
        <w:t>7.7.5建筑设计</w:t>
      </w:r>
      <w:bookmarkEnd w:id="869"/>
      <w:bookmarkEnd w:id="870"/>
      <w:bookmarkEnd w:id="871"/>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（1）分选分拣车间和加工存储区仓库建筑做法：</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结构采用门式钢架钢柱，填充墙采用200厚加气混凝土砌块墙；外围护墙体底部采用300厚加气混凝土砌块墙，上部采用浅色复合岩棉夹芯压型钢板墙面墙体，混凝土砌块砌至室内地坪以上高度1.2米，两种墙体均满足外维护墙体的保温隔热及坚固性要求。埋入地坪下的墙体，除钢筋混凝土墙外，均采用非粘土烧结实心砖墙，砖墙在地坪下60处水平防潮层、砖墙两侧做竖向防潮层，做法为20厚1:2.5水泥砂浆，内掺5%防水剂。如此位置有结构的砼梁及砼墙，防潮层可不设；如室内地面不在同一标高时增设竖向防潮层。</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屋面防水等级为Ⅰ级，采用二道防水材料设防。屋面排水采用有组织外排水；雨水斗、雨水管采用钢管成品。车间和加工存储区仓库屋顶上设置点式采光窗，可解决整个车间和加工存储区仓库的采光问题，另外屋面上设置通风排烟设施，满足通风换气要求。</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楼地面防水：有水房间（卫生间）的楼地面完成面应低于相邻房间20mm，以1%坡度坡向地漏；有防水要求的房间隔墙下部均做300高混凝土挡水槛，与楼板一起浇筑。凡设有地漏的房间均应做防水层，未注明坡度者，均在地漏周围1m范围内找1%坡坡向地漏；卫生洁具、成品隔断由建设单位与设计院协商确定，并应与施工配合。</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地面采用比较经济的不发火金刚砂处理地面，以达到无尘、耐磨损、低成本的要求。</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屋面采用浅蓝色复合岩棉夹芯彩钢板屋面。</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外门宜采用成品电动滑升门和成品不锈钢平开门，内门采用甲和乙级防火门，由公安部指定成品；外窗采用成品塑钢平开窗。</w:t>
      </w:r>
    </w:p>
    <w:p>
      <w:pPr>
        <w:spacing w:line="578" w:lineRule="exact"/>
        <w:ind w:firstLine="632" w:firstLineChars="200"/>
        <w:rPr>
          <w:rFonts w:ascii="仿宋_GB2312" w:hAnsi="仿宋_GB2312" w:eastAsia="仿宋_GB2312" w:cs="仿宋_GB2312"/>
          <w:sz w:val="32"/>
          <w:szCs w:val="32"/>
        </w:rPr>
      </w:pPr>
      <w:bookmarkStart w:id="872" w:name="_Toc393874762"/>
      <w:bookmarkStart w:id="873" w:name="_Toc415824676"/>
      <w:r>
        <w:rPr>
          <w:rFonts w:hint="eastAsia" w:ascii="仿宋_GB2312" w:hAnsi="仿宋_GB2312" w:eastAsia="仿宋_GB2312" w:cs="仿宋_GB2312"/>
          <w:sz w:val="32"/>
          <w:szCs w:val="32"/>
        </w:rPr>
        <w:t>人行斜坡</w:t>
      </w:r>
      <w:bookmarkEnd w:id="872"/>
      <w:bookmarkEnd w:id="873"/>
      <w:r>
        <w:rPr>
          <w:rFonts w:hint="eastAsia" w:ascii="仿宋_GB2312" w:hAnsi="仿宋_GB2312" w:eastAsia="仿宋_GB2312" w:cs="仿宋_GB2312"/>
          <w:sz w:val="32"/>
          <w:szCs w:val="32"/>
        </w:rPr>
        <w:t>:设置人车行斜坡，方便人员和叉车的进出库。</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雨篷设计应该保证安装和使用的结构强度；</w:t>
      </w:r>
    </w:p>
    <w:p>
      <w:pPr>
        <w:spacing w:line="578" w:lineRule="exact"/>
        <w:ind w:firstLine="632" w:firstLineChars="200"/>
        <w:rPr>
          <w:rFonts w:ascii="仿宋_GB2312" w:hAnsi="仿宋_GB2312" w:eastAsia="仿宋_GB2312" w:cs="仿宋_GB2312"/>
          <w:sz w:val="32"/>
          <w:szCs w:val="32"/>
        </w:rPr>
      </w:pPr>
      <w:bookmarkStart w:id="874" w:name="_Toc393874764"/>
      <w:bookmarkStart w:id="875" w:name="_Toc415824678"/>
      <w:r>
        <w:rPr>
          <w:rFonts w:hint="eastAsia" w:ascii="仿宋_GB2312" w:hAnsi="仿宋_GB2312" w:eastAsia="仿宋_GB2312" w:cs="仿宋_GB2312"/>
          <w:sz w:val="32"/>
          <w:szCs w:val="32"/>
        </w:rPr>
        <w:t>分选分拣车间和加工存储区仓库内部净高</w:t>
      </w:r>
      <w:bookmarkEnd w:id="874"/>
      <w:bookmarkEnd w:id="875"/>
      <w:r>
        <w:rPr>
          <w:rFonts w:hint="eastAsia" w:ascii="仿宋_GB2312" w:hAnsi="仿宋_GB2312" w:eastAsia="仿宋_GB2312" w:cs="仿宋_GB2312"/>
          <w:sz w:val="32"/>
          <w:szCs w:val="32"/>
        </w:rPr>
        <w:t>按照机械设备要求和加工存储要求，估计不小于9.0米左右。</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（2）其它建筑的做法：</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其它辅助办公、展示与交易用房、附属用房、室外配套均按照当地实际情况和常规混凝土框架结构的建设经验设计。墙体采用加气混凝土砌块，外墙采用经济型涂料，内墙采用抹面砂浆。选用塑钢门窗。</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（3）防火设计：</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工程基地设一个主要出入口和一个次要出入口，连接现有城区道路。分选分拣车间四面均设有消防车道，每车道净宽度≥4m，消防车操作面一侧道路净宽≥5m，消防车道转弯半径12米，消防车道上空4m以下范围内没有障碍物，消防车道与建筑之间没有妨碍登高消防车操作的树木、架空管线等。</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车间和加工存储区仓库为单层，耐火等级二级。室内钢结构构件防火采用薄型防火涂料；满足钢柱耐火极限2.5小时，钢梁耐火等级1.5小时，从而满足规范要求。室外钢结构件防火采用厚型无机并能适用于烃类火灾的防火涂料。</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车间和加工存储区部分每个防火分区至少设有2个人员疏散口；各防火分区之间通过特级复合防火卷帘相互连通。</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钢结构均喷涂防火涂料，满足建筑承重构件的耐火极限要求。附属办公楼采用混凝土框架结构，钢筋保护层厚度均满足防火要求。</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办公楼和展示交易用房为多层和单层公共建筑，耐火等级二级。每层一个防火分区，每个防火分区设有两个安全出口，疏散宽度跟疏散距离均满足规范要求。</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（4）无障碍设计：</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本项目的无障碍设计范围包括：建筑基地；建筑入口。建筑主入口设置无障碍坡道至入口平台，室内外高差、门槛及门内外高差不应大于15mm。</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（5）钢结构安全及防腐设计：</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空气对钢结构的腐蚀性较大，对所有外露钢结构及其构件均作了防腐处理。所有钢结构构件均先进行除锈处理，除锈等级应符合现行《钢结构工程施工与验收规范》GB50205 第 14.2.1 条规定，承重构件除锈等级要求达到(GB8923)中的 Sa2.5级标准，其余构件除锈等级要求达到(GB8923)中的 St3 级标准。防腐处理方式为外刷环氧富锌防腐底漆，从而保证钢结构及构件的耐久性。钢结构防腐应符合《工业建筑防腐蚀设计规范》GB50046 中有关规定，防腐年限不小于 5 年，防腐等级为中等防腐。</w:t>
      </w:r>
    </w:p>
    <w:p>
      <w:pPr>
        <w:spacing w:line="578" w:lineRule="exact"/>
        <w:ind w:firstLine="632" w:firstLineChars="200"/>
        <w:rPr>
          <w:rFonts w:ascii="仿宋_GB2312" w:hAnsi="仿宋_GB2312" w:eastAsia="仿宋_GB2312" w:cs="仿宋_GB2312"/>
          <w:sz w:val="32"/>
          <w:szCs w:val="32"/>
        </w:rPr>
      </w:pPr>
      <w:bookmarkStart w:id="876" w:name="_Toc23414_WPSOffice_Level3"/>
      <w:bookmarkStart w:id="877" w:name="_Toc25006_WPSOffice_Level3"/>
      <w:bookmarkStart w:id="878" w:name="_Toc23163_WPSOffice_Level3"/>
      <w:r>
        <w:rPr>
          <w:rFonts w:hint="eastAsia" w:ascii="仿宋_GB2312" w:hAnsi="仿宋_GB2312" w:eastAsia="仿宋_GB2312" w:cs="仿宋_GB2312"/>
          <w:sz w:val="32"/>
          <w:szCs w:val="32"/>
        </w:rPr>
        <w:t>7.7.6结构设计</w:t>
      </w:r>
      <w:bookmarkEnd w:id="876"/>
      <w:bookmarkEnd w:id="877"/>
      <w:bookmarkEnd w:id="878"/>
    </w:p>
    <w:p>
      <w:pPr>
        <w:spacing w:line="578" w:lineRule="exact"/>
        <w:ind w:firstLine="632" w:firstLineChars="200"/>
        <w:rPr>
          <w:rFonts w:ascii="仿宋_GB2312" w:hAnsi="仿宋_GB2312" w:eastAsia="仿宋_GB2312" w:cs="仿宋_GB2312"/>
          <w:sz w:val="32"/>
          <w:szCs w:val="32"/>
        </w:rPr>
      </w:pPr>
      <w:bookmarkStart w:id="879" w:name="_Toc393874759"/>
      <w:bookmarkStart w:id="880" w:name="_Toc415824673"/>
      <w:bookmarkStart w:id="881" w:name="_Toc341191271"/>
      <w:r>
        <w:rPr>
          <w:rFonts w:hint="eastAsia" w:ascii="仿宋_GB2312" w:hAnsi="仿宋_GB2312" w:eastAsia="仿宋_GB2312" w:cs="仿宋_GB2312"/>
          <w:sz w:val="32"/>
          <w:szCs w:val="32"/>
        </w:rPr>
        <w:t>地基与基础</w:t>
      </w:r>
      <w:bookmarkEnd w:id="879"/>
      <w:bookmarkEnd w:id="880"/>
      <w:bookmarkEnd w:id="881"/>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地基的设计主要考虑地面承重稳定性，在设计承重的条件下不会出现塌陷等现象。拟采用柱下独立基础。</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仓库内部设备承重：承重要求按具体设备设计。仓库内地面应平整、耐磨、承压能力强，最好使用金刚砂、双钢筋，每平方承重在4吨以上。水平度要求：水平度≥18。平整度要求：平整度≥25。材质要求：金刚砂硬化耐磨层地面。</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厂区道路：对道路地面进行硬化，要求混凝土厚度20CM。</w:t>
      </w:r>
    </w:p>
    <w:p>
      <w:pPr>
        <w:spacing w:line="578" w:lineRule="exact"/>
        <w:ind w:firstLine="632" w:firstLineChars="200"/>
        <w:rPr>
          <w:rFonts w:ascii="仿宋_GB2312" w:hAnsi="仿宋_GB2312" w:eastAsia="仿宋_GB2312" w:cs="仿宋_GB2312"/>
          <w:sz w:val="32"/>
          <w:szCs w:val="32"/>
        </w:rPr>
      </w:pPr>
      <w:bookmarkStart w:id="882" w:name="_Toc341191272"/>
      <w:bookmarkStart w:id="883" w:name="_Toc415824674"/>
      <w:bookmarkStart w:id="884" w:name="_Toc393874760"/>
      <w:r>
        <w:rPr>
          <w:rFonts w:hint="eastAsia" w:ascii="仿宋_GB2312" w:hAnsi="仿宋_GB2312" w:eastAsia="仿宋_GB2312" w:cs="仿宋_GB2312"/>
          <w:sz w:val="32"/>
          <w:szCs w:val="32"/>
        </w:rPr>
        <w:t>抗震</w:t>
      </w:r>
      <w:bookmarkEnd w:id="882"/>
      <w:bookmarkEnd w:id="883"/>
      <w:bookmarkEnd w:id="884"/>
      <w:r>
        <w:rPr>
          <w:rFonts w:hint="eastAsia" w:ascii="仿宋_GB2312" w:hAnsi="仿宋_GB2312" w:eastAsia="仿宋_GB2312" w:cs="仿宋_GB2312"/>
          <w:sz w:val="32"/>
          <w:szCs w:val="32"/>
        </w:rPr>
        <w:t>：根据建筑抗震设计规范，确定嘉峪关的抗震设防烈度为7度。设计基本地震加速度值为0.15g。</w:t>
      </w:r>
    </w:p>
    <w:p>
      <w:pPr>
        <w:spacing w:line="578" w:lineRule="exact"/>
        <w:ind w:firstLine="632" w:firstLineChars="200"/>
        <w:rPr>
          <w:rFonts w:ascii="仿宋_GB2312" w:hAnsi="仿宋_GB2312" w:eastAsia="仿宋_GB2312" w:cs="仿宋_GB2312"/>
          <w:sz w:val="32"/>
          <w:szCs w:val="32"/>
        </w:rPr>
      </w:pPr>
      <w:bookmarkStart w:id="885" w:name="_Toc341191275"/>
      <w:bookmarkStart w:id="886" w:name="_Toc13788_WPSOffice_Level3"/>
      <w:bookmarkStart w:id="887" w:name="_Toc20942_WPSOffice_Level3"/>
      <w:bookmarkStart w:id="888" w:name="_Toc415824681"/>
      <w:bookmarkStart w:id="889" w:name="_Toc22961_WPSOffice_Level3"/>
      <w:bookmarkStart w:id="890" w:name="_Toc393874767"/>
      <w:r>
        <w:rPr>
          <w:rFonts w:hint="eastAsia" w:ascii="仿宋_GB2312" w:hAnsi="仿宋_GB2312" w:eastAsia="仿宋_GB2312" w:cs="仿宋_GB2312"/>
          <w:sz w:val="32"/>
          <w:szCs w:val="32"/>
        </w:rPr>
        <w:t>7.7.7能源供给</w:t>
      </w:r>
      <w:bookmarkEnd w:id="885"/>
      <w:bookmarkEnd w:id="886"/>
      <w:bookmarkEnd w:id="887"/>
      <w:bookmarkEnd w:id="888"/>
      <w:bookmarkEnd w:id="889"/>
      <w:bookmarkEnd w:id="89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1.给排水设计</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（1）设计范围：室内给水系统、排水系统、消火栓系统、建筑灭火器配置。室外给水系统、污水系统、雨水系统、消火栓系统。</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（2）水源：水源接自市政供水管网，采用双水源进水。从市政环网不同环段引入两根DN200市政给水。市政管网压力0.25MPa。</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（3）供水方式：建筑物的生活用水由市政管网直接供给</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rPr>
        <w:t>（4）用水量：本工程最高日用水量为20m3/d。</w:t>
      </w:r>
      <w:r>
        <w:rPr>
          <w:rFonts w:hint="eastAsia" w:ascii="仿宋_GB2312" w:hAnsi="仿宋_GB2312" w:eastAsia="仿宋_GB2312" w:cs="仿宋_GB2312"/>
          <w:sz w:val="32"/>
          <w:szCs w:val="32"/>
          <w:lang w:val="zh-CN"/>
        </w:rPr>
        <w:t>室内生活用水由室外给水管网供给，供水压力为</w:t>
      </w:r>
      <w:r>
        <w:rPr>
          <w:rFonts w:hint="eastAsia" w:ascii="仿宋_GB2312" w:hAnsi="仿宋_GB2312" w:eastAsia="仿宋_GB2312" w:cs="仿宋_GB2312"/>
          <w:sz w:val="32"/>
          <w:szCs w:val="32"/>
        </w:rPr>
        <w:t>0.25MPa。</w:t>
      </w:r>
      <w:r>
        <w:rPr>
          <w:rFonts w:hint="eastAsia" w:ascii="仿宋_GB2312" w:hAnsi="仿宋_GB2312" w:eastAsia="仿宋_GB2312" w:cs="仿宋_GB2312"/>
          <w:sz w:val="32"/>
          <w:szCs w:val="32"/>
          <w:lang w:val="zh-CN"/>
        </w:rPr>
        <w:t>给水系统均采用下行上给式系统。</w:t>
      </w:r>
    </w:p>
    <w:p>
      <w:pPr>
        <w:spacing w:line="578" w:lineRule="exact"/>
        <w:ind w:firstLine="632" w:firstLineChars="200"/>
        <w:rPr>
          <w:rFonts w:ascii="仿宋_GB2312" w:hAnsi="仿宋_GB2312" w:eastAsia="仿宋_GB2312" w:cs="仿宋_GB2312"/>
          <w:sz w:val="32"/>
          <w:szCs w:val="32"/>
        </w:rPr>
      </w:pPr>
      <w:bookmarkStart w:id="891" w:name="_Toc29189_WPSOffice_Level2"/>
      <w:bookmarkStart w:id="892" w:name="_Toc6187_WPSOffice_Level2"/>
      <w:r>
        <w:rPr>
          <w:rFonts w:hint="eastAsia" w:ascii="仿宋_GB2312" w:hAnsi="仿宋_GB2312" w:eastAsia="仿宋_GB2312" w:cs="仿宋_GB2312"/>
          <w:sz w:val="32"/>
          <w:szCs w:val="32"/>
        </w:rPr>
        <w:t>（5）消防系统</w:t>
      </w:r>
      <w:bookmarkEnd w:id="891"/>
      <w:bookmarkEnd w:id="892"/>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1）室外消火栓系统</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本工程室外消防用水量由室外消防水池供给，消防水池由室外给水管网补水。消防水池贮存火灾延续时间内室内外消防用水量，由消防水泵取水。</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室外消防管网地下式室外消火栓,耐压不小于1.0MPa，每个室外消火栓均设置明显标志，室外消火栓间距不超过120米，离路边距离不大于2米，距建筑物外墙的距离不小于5米。设计采用SAl00/65—1．0地下式室外消火栓，内配置DNl00和DN65的栓口各一个。</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2）室内消火栓系统</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本工程</w:t>
      </w:r>
      <w:r>
        <w:rPr>
          <w:rFonts w:hint="eastAsia" w:ascii="仿宋_GB2312" w:hAnsi="仿宋_GB2312" w:eastAsia="仿宋_GB2312" w:cs="仿宋_GB2312"/>
          <w:sz w:val="32"/>
          <w:szCs w:val="32"/>
        </w:rPr>
        <w:t>分选分拣车间、分选（含纺织品、金属、玻璃、塑料、纸张、橡胶）加工存储区仓库、有毒有害存储仓库、附属综合办公宿舍楼</w:t>
      </w:r>
      <w:r>
        <w:rPr>
          <w:rFonts w:hint="eastAsia" w:ascii="仿宋_GB2312" w:hAnsi="仿宋_GB2312" w:eastAsia="仿宋_GB2312" w:cs="仿宋_GB2312"/>
          <w:sz w:val="32"/>
          <w:szCs w:val="32"/>
          <w:lang w:val="zh-CN"/>
        </w:rPr>
        <w:t>内设置室内消火栓系统，由室外消防水池及消防水泵房内的室内消火栓泵加压供水，消火栓系统为临时高压给水系统，室内消火栓管网相连形成环状管网，任何部位均能保证同层两支水枪充实水柱同时到达。</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消火栓消防系统采用消火栓：SN65，水枪QZ19，25米衬胶水带、报警按钮和指示灯各一个、DN25消防软管卷盘。消防水枪充实水柱高度</w:t>
      </w:r>
      <w:r>
        <w:rPr>
          <w:rFonts w:hint="eastAsia" w:ascii="仿宋_GB2312" w:hAnsi="仿宋_GB2312" w:eastAsia="仿宋_GB2312" w:cs="仿宋_GB2312"/>
          <w:sz w:val="32"/>
          <w:szCs w:val="32"/>
        </w:rPr>
        <w:t>13</w:t>
      </w:r>
      <w:r>
        <w:rPr>
          <w:rFonts w:hint="eastAsia" w:ascii="仿宋_GB2312" w:hAnsi="仿宋_GB2312" w:eastAsia="仿宋_GB2312" w:cs="仿宋_GB2312"/>
          <w:sz w:val="32"/>
          <w:szCs w:val="32"/>
          <w:lang w:val="zh-CN"/>
        </w:rPr>
        <w:t>米。</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火灾初期消防用水由</w:t>
      </w:r>
      <w:r>
        <w:rPr>
          <w:rFonts w:hint="eastAsia" w:ascii="仿宋_GB2312" w:hAnsi="仿宋_GB2312" w:eastAsia="仿宋_GB2312" w:cs="仿宋_GB2312"/>
          <w:sz w:val="32"/>
          <w:szCs w:val="32"/>
        </w:rPr>
        <w:t>综合办公宿舍楼</w:t>
      </w:r>
      <w:r>
        <w:rPr>
          <w:rFonts w:hint="eastAsia" w:ascii="仿宋_GB2312" w:hAnsi="仿宋_GB2312" w:eastAsia="仿宋_GB2312" w:cs="仿宋_GB2312"/>
          <w:sz w:val="32"/>
          <w:szCs w:val="32"/>
          <w:lang w:val="zh-CN"/>
        </w:rPr>
        <w:t>屋顶水箱间的有效容积</w:t>
      </w:r>
      <w:r>
        <w:rPr>
          <w:rFonts w:hint="eastAsia" w:ascii="仿宋_GB2312" w:hAnsi="仿宋_GB2312" w:eastAsia="仿宋_GB2312" w:cs="仿宋_GB2312"/>
          <w:sz w:val="32"/>
          <w:szCs w:val="32"/>
        </w:rPr>
        <w:t>18</w:t>
      </w:r>
      <w:r>
        <w:rPr>
          <w:rFonts w:hint="eastAsia" w:ascii="仿宋_GB2312" w:hAnsi="仿宋_GB2312" w:eastAsia="仿宋_GB2312" w:cs="仿宋_GB2312"/>
          <w:sz w:val="32"/>
          <w:szCs w:val="32"/>
          <w:lang w:val="zh-CN"/>
        </w:rPr>
        <w:t>立方米消防水箱供给，水箱间消防出水管上设增压稳压设备。</w:t>
      </w:r>
    </w:p>
    <w:p>
      <w:pPr>
        <w:numPr>
          <w:ilvl w:val="0"/>
          <w:numId w:val="6"/>
        </w:num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建筑灭火器设置</w:t>
      </w:r>
    </w:p>
    <w:tbl>
      <w:tblPr>
        <w:tblStyle w:val="16"/>
        <w:tblW w:w="97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7"/>
        <w:gridCol w:w="1874"/>
        <w:gridCol w:w="1700"/>
        <w:gridCol w:w="1133"/>
        <w:gridCol w:w="1100"/>
        <w:gridCol w:w="1391"/>
        <w:gridCol w:w="16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877" w:type="dxa"/>
            <w:vAlign w:val="center"/>
          </w:tcPr>
          <w:p>
            <w:pPr>
              <w:pStyle w:val="9"/>
              <w:spacing w:line="578" w:lineRule="exact"/>
              <w:jc w:val="center"/>
              <w:rPr>
                <w:rFonts w:ascii="仿宋_GB2312" w:hAnsi="仿宋_GB2312" w:eastAsia="仿宋_GB2312" w:cs="仿宋_GB2312"/>
                <w:sz w:val="24"/>
                <w:szCs w:val="24"/>
                <w:lang w:val="zh-CN"/>
              </w:rPr>
            </w:pPr>
            <w:r>
              <w:rPr>
                <w:rFonts w:hint="eastAsia" w:ascii="仿宋_GB2312" w:hAnsi="仿宋_GB2312" w:eastAsia="仿宋_GB2312" w:cs="仿宋_GB2312"/>
                <w:sz w:val="24"/>
                <w:szCs w:val="24"/>
                <w:lang w:val="zh-CN"/>
              </w:rPr>
              <w:t>序号</w:t>
            </w:r>
          </w:p>
        </w:tc>
        <w:tc>
          <w:tcPr>
            <w:tcW w:w="1874" w:type="dxa"/>
            <w:vAlign w:val="center"/>
          </w:tcPr>
          <w:p>
            <w:pPr>
              <w:pStyle w:val="9"/>
              <w:spacing w:line="578" w:lineRule="exact"/>
              <w:jc w:val="center"/>
              <w:rPr>
                <w:rFonts w:ascii="仿宋_GB2312" w:hAnsi="仿宋_GB2312" w:eastAsia="仿宋_GB2312" w:cs="仿宋_GB2312"/>
                <w:sz w:val="24"/>
                <w:szCs w:val="24"/>
                <w:lang w:val="zh-CN"/>
              </w:rPr>
            </w:pPr>
            <w:r>
              <w:rPr>
                <w:rFonts w:hint="eastAsia" w:ascii="仿宋_GB2312" w:hAnsi="仿宋_GB2312" w:eastAsia="仿宋_GB2312" w:cs="仿宋_GB2312"/>
                <w:sz w:val="24"/>
                <w:szCs w:val="24"/>
                <w:lang w:val="zh-CN"/>
              </w:rPr>
              <w:t>名称</w:t>
            </w:r>
          </w:p>
        </w:tc>
        <w:tc>
          <w:tcPr>
            <w:tcW w:w="1700" w:type="dxa"/>
            <w:vAlign w:val="center"/>
          </w:tcPr>
          <w:p>
            <w:pPr>
              <w:pStyle w:val="9"/>
              <w:spacing w:line="578" w:lineRule="exact"/>
              <w:jc w:val="center"/>
              <w:rPr>
                <w:rFonts w:ascii="仿宋_GB2312" w:hAnsi="仿宋_GB2312" w:eastAsia="仿宋_GB2312" w:cs="仿宋_GB2312"/>
                <w:sz w:val="24"/>
                <w:szCs w:val="24"/>
                <w:lang w:val="zh-CN"/>
              </w:rPr>
            </w:pPr>
            <w:r>
              <w:rPr>
                <w:rFonts w:hint="eastAsia" w:ascii="仿宋_GB2312" w:hAnsi="仿宋_GB2312" w:eastAsia="仿宋_GB2312" w:cs="仿宋_GB2312"/>
                <w:sz w:val="24"/>
                <w:szCs w:val="24"/>
                <w:lang w:val="zh-CN"/>
              </w:rPr>
              <w:t>危险等级</w:t>
            </w:r>
          </w:p>
        </w:tc>
        <w:tc>
          <w:tcPr>
            <w:tcW w:w="1133" w:type="dxa"/>
            <w:vAlign w:val="center"/>
          </w:tcPr>
          <w:p>
            <w:pPr>
              <w:pStyle w:val="9"/>
              <w:spacing w:line="578" w:lineRule="exact"/>
              <w:jc w:val="center"/>
              <w:rPr>
                <w:rFonts w:ascii="仿宋_GB2312" w:hAnsi="仿宋_GB2312" w:eastAsia="仿宋_GB2312" w:cs="仿宋_GB2312"/>
                <w:sz w:val="24"/>
                <w:szCs w:val="24"/>
                <w:lang w:val="zh-CN"/>
              </w:rPr>
            </w:pPr>
            <w:r>
              <w:rPr>
                <w:rFonts w:hint="eastAsia" w:ascii="仿宋_GB2312" w:hAnsi="仿宋_GB2312" w:eastAsia="仿宋_GB2312" w:cs="仿宋_GB2312"/>
                <w:sz w:val="24"/>
                <w:szCs w:val="24"/>
                <w:lang w:val="zh-CN"/>
              </w:rPr>
              <w:t>火灾级别</w:t>
            </w:r>
          </w:p>
        </w:tc>
        <w:tc>
          <w:tcPr>
            <w:tcW w:w="1100" w:type="dxa"/>
            <w:vAlign w:val="center"/>
          </w:tcPr>
          <w:p>
            <w:pPr>
              <w:pStyle w:val="9"/>
              <w:spacing w:line="578" w:lineRule="exact"/>
              <w:jc w:val="center"/>
              <w:rPr>
                <w:rFonts w:ascii="仿宋_GB2312" w:hAnsi="仿宋_GB2312" w:eastAsia="仿宋_GB2312" w:cs="仿宋_GB2312"/>
                <w:sz w:val="24"/>
                <w:szCs w:val="24"/>
                <w:lang w:val="zh-CN"/>
              </w:rPr>
            </w:pPr>
            <w:r>
              <w:rPr>
                <w:rFonts w:hint="eastAsia" w:ascii="仿宋_GB2312" w:hAnsi="仿宋_GB2312" w:eastAsia="仿宋_GB2312" w:cs="仿宋_GB2312"/>
                <w:sz w:val="24"/>
                <w:szCs w:val="24"/>
                <w:lang w:val="zh-CN"/>
              </w:rPr>
              <w:t>灭火级别</w:t>
            </w:r>
          </w:p>
        </w:tc>
        <w:tc>
          <w:tcPr>
            <w:tcW w:w="1391" w:type="dxa"/>
            <w:vAlign w:val="center"/>
          </w:tcPr>
          <w:p>
            <w:pPr>
              <w:pStyle w:val="9"/>
              <w:spacing w:line="578" w:lineRule="exact"/>
              <w:jc w:val="center"/>
              <w:rPr>
                <w:rFonts w:ascii="仿宋_GB2312" w:hAnsi="仿宋_GB2312" w:eastAsia="仿宋_GB2312" w:cs="仿宋_GB2312"/>
                <w:sz w:val="24"/>
                <w:szCs w:val="24"/>
                <w:lang w:val="zh-CN"/>
              </w:rPr>
            </w:pPr>
            <w:r>
              <w:rPr>
                <w:rFonts w:hint="eastAsia" w:ascii="仿宋_GB2312" w:hAnsi="仿宋_GB2312" w:eastAsia="仿宋_GB2312" w:cs="仿宋_GB2312"/>
                <w:sz w:val="24"/>
                <w:szCs w:val="24"/>
                <w:lang w:val="zh-CN"/>
              </w:rPr>
              <w:t>最大保护面积</w:t>
            </w:r>
          </w:p>
        </w:tc>
        <w:tc>
          <w:tcPr>
            <w:tcW w:w="1651" w:type="dxa"/>
            <w:vAlign w:val="center"/>
          </w:tcPr>
          <w:p>
            <w:pPr>
              <w:pStyle w:val="9"/>
              <w:spacing w:line="578" w:lineRule="exact"/>
              <w:jc w:val="center"/>
              <w:rPr>
                <w:rFonts w:ascii="仿宋_GB2312" w:hAnsi="仿宋_GB2312" w:eastAsia="仿宋_GB2312" w:cs="仿宋_GB2312"/>
                <w:sz w:val="24"/>
                <w:szCs w:val="24"/>
                <w:lang w:val="zh-CN"/>
              </w:rPr>
            </w:pPr>
            <w:r>
              <w:rPr>
                <w:rFonts w:hint="eastAsia" w:ascii="仿宋_GB2312" w:hAnsi="仿宋_GB2312" w:eastAsia="仿宋_GB2312" w:cs="仿宋_GB2312"/>
                <w:sz w:val="24"/>
                <w:szCs w:val="24"/>
                <w:lang w:val="zh-CN"/>
              </w:rPr>
              <w:t>最大保护距离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877" w:type="dxa"/>
            <w:vAlign w:val="center"/>
          </w:tcPr>
          <w:p>
            <w:pPr>
              <w:pStyle w:val="9"/>
              <w:spacing w:line="578" w:lineRule="exact"/>
              <w:ind w:firstLine="472" w:firstLineChars="200"/>
              <w:jc w:val="center"/>
              <w:rPr>
                <w:rFonts w:ascii="仿宋_GB2312" w:hAnsi="仿宋_GB2312" w:eastAsia="仿宋_GB2312" w:cs="仿宋_GB2312"/>
                <w:sz w:val="24"/>
                <w:szCs w:val="24"/>
                <w:lang w:val="zh-CN"/>
              </w:rPr>
            </w:pPr>
            <w:r>
              <w:rPr>
                <w:rFonts w:hint="eastAsia" w:ascii="仿宋_GB2312" w:hAnsi="仿宋_GB2312" w:eastAsia="仿宋_GB2312" w:cs="仿宋_GB2312"/>
                <w:sz w:val="24"/>
                <w:szCs w:val="24"/>
                <w:lang w:val="zh-CN"/>
              </w:rPr>
              <w:t>1</w:t>
            </w:r>
          </w:p>
        </w:tc>
        <w:tc>
          <w:tcPr>
            <w:tcW w:w="1874" w:type="dxa"/>
            <w:vAlign w:val="center"/>
          </w:tcPr>
          <w:p>
            <w:pPr>
              <w:pStyle w:val="9"/>
              <w:spacing w:line="578" w:lineRule="exact"/>
              <w:rPr>
                <w:rFonts w:ascii="仿宋_GB2312" w:hAnsi="仿宋_GB2312" w:eastAsia="仿宋_GB2312" w:cs="仿宋_GB2312"/>
                <w:sz w:val="24"/>
                <w:szCs w:val="24"/>
                <w:lang w:val="zh-CN"/>
              </w:rPr>
            </w:pPr>
            <w:r>
              <w:rPr>
                <w:rFonts w:hint="eastAsia" w:ascii="仿宋_GB2312" w:hAnsi="仿宋_GB2312" w:eastAsia="仿宋_GB2312" w:cs="仿宋_GB2312"/>
                <w:sz w:val="24"/>
                <w:szCs w:val="24"/>
              </w:rPr>
              <w:t>分选分拣车间、分选加工存储区仓库、有毒有害存储仓库、附属综合办公宿舍楼</w:t>
            </w:r>
          </w:p>
        </w:tc>
        <w:tc>
          <w:tcPr>
            <w:tcW w:w="1700" w:type="dxa"/>
            <w:vAlign w:val="center"/>
          </w:tcPr>
          <w:p>
            <w:pPr>
              <w:pStyle w:val="9"/>
              <w:spacing w:line="578" w:lineRule="exact"/>
              <w:jc w:val="center"/>
              <w:rPr>
                <w:rFonts w:ascii="仿宋_GB2312" w:hAnsi="仿宋_GB2312" w:eastAsia="仿宋_GB2312" w:cs="仿宋_GB2312"/>
                <w:sz w:val="24"/>
                <w:szCs w:val="24"/>
                <w:lang w:val="zh-CN"/>
              </w:rPr>
            </w:pPr>
            <w:r>
              <w:rPr>
                <w:rFonts w:hint="eastAsia" w:ascii="仿宋_GB2312" w:hAnsi="仿宋_GB2312" w:eastAsia="仿宋_GB2312" w:cs="仿宋_GB2312"/>
                <w:sz w:val="24"/>
                <w:szCs w:val="24"/>
                <w:lang w:val="zh-CN"/>
              </w:rPr>
              <w:t>中危险级</w:t>
            </w:r>
          </w:p>
        </w:tc>
        <w:tc>
          <w:tcPr>
            <w:tcW w:w="1133" w:type="dxa"/>
            <w:vAlign w:val="center"/>
          </w:tcPr>
          <w:p>
            <w:pPr>
              <w:pStyle w:val="9"/>
              <w:spacing w:line="578" w:lineRule="exact"/>
              <w:ind w:firstLine="472" w:firstLineChars="200"/>
              <w:rPr>
                <w:rFonts w:ascii="仿宋_GB2312" w:hAnsi="仿宋_GB2312" w:eastAsia="仿宋_GB2312" w:cs="仿宋_GB2312"/>
                <w:sz w:val="24"/>
                <w:szCs w:val="24"/>
                <w:lang w:val="zh-CN"/>
              </w:rPr>
            </w:pPr>
            <w:r>
              <w:rPr>
                <w:rFonts w:hint="eastAsia" w:ascii="仿宋_GB2312" w:hAnsi="仿宋_GB2312" w:eastAsia="仿宋_GB2312" w:cs="仿宋_GB2312"/>
                <w:sz w:val="24"/>
                <w:szCs w:val="24"/>
                <w:lang w:val="zh-CN"/>
              </w:rPr>
              <w:t>A</w:t>
            </w:r>
          </w:p>
        </w:tc>
        <w:tc>
          <w:tcPr>
            <w:tcW w:w="1100" w:type="dxa"/>
            <w:vAlign w:val="center"/>
          </w:tcPr>
          <w:p>
            <w:pPr>
              <w:pStyle w:val="9"/>
              <w:spacing w:line="578" w:lineRule="exact"/>
              <w:ind w:firstLine="472" w:firstLineChars="200"/>
              <w:rPr>
                <w:rFonts w:ascii="仿宋_GB2312" w:hAnsi="仿宋_GB2312" w:eastAsia="仿宋_GB2312" w:cs="仿宋_GB2312"/>
                <w:sz w:val="24"/>
                <w:szCs w:val="24"/>
                <w:lang w:val="zh-CN"/>
              </w:rPr>
            </w:pPr>
            <w:r>
              <w:rPr>
                <w:rFonts w:hint="eastAsia" w:ascii="仿宋_GB2312" w:hAnsi="仿宋_GB2312" w:eastAsia="仿宋_GB2312" w:cs="仿宋_GB2312"/>
                <w:sz w:val="24"/>
                <w:szCs w:val="24"/>
              </w:rPr>
              <w:t>2</w:t>
            </w:r>
            <w:r>
              <w:rPr>
                <w:rFonts w:hint="eastAsia" w:ascii="仿宋_GB2312" w:hAnsi="仿宋_GB2312" w:eastAsia="仿宋_GB2312" w:cs="仿宋_GB2312"/>
                <w:sz w:val="24"/>
                <w:szCs w:val="24"/>
                <w:lang w:val="zh-CN"/>
              </w:rPr>
              <w:t>A</w:t>
            </w:r>
          </w:p>
        </w:tc>
        <w:tc>
          <w:tcPr>
            <w:tcW w:w="1391" w:type="dxa"/>
            <w:vAlign w:val="center"/>
          </w:tcPr>
          <w:p>
            <w:pPr>
              <w:pStyle w:val="9"/>
              <w:spacing w:line="578" w:lineRule="exact"/>
              <w:rPr>
                <w:rFonts w:ascii="仿宋_GB2312" w:hAnsi="仿宋_GB2312" w:eastAsia="仿宋_GB2312" w:cs="仿宋_GB2312"/>
                <w:sz w:val="24"/>
                <w:szCs w:val="24"/>
                <w:lang w:val="zh-CN"/>
              </w:rPr>
            </w:pPr>
            <w:r>
              <w:rPr>
                <w:rFonts w:hint="eastAsia" w:ascii="仿宋_GB2312" w:hAnsi="仿宋_GB2312" w:eastAsia="仿宋_GB2312" w:cs="仿宋_GB2312"/>
                <w:sz w:val="24"/>
                <w:szCs w:val="24"/>
              </w:rPr>
              <w:t>75</w:t>
            </w:r>
            <w:r>
              <w:rPr>
                <w:rFonts w:hint="eastAsia" w:ascii="仿宋_GB2312" w:hAnsi="仿宋_GB2312" w:eastAsia="仿宋_GB2312" w:cs="仿宋_GB2312"/>
                <w:sz w:val="24"/>
                <w:szCs w:val="24"/>
                <w:lang w:val="zh-CN"/>
              </w:rPr>
              <w:t>㎡/A</w:t>
            </w:r>
          </w:p>
        </w:tc>
        <w:tc>
          <w:tcPr>
            <w:tcW w:w="1651" w:type="dxa"/>
            <w:vAlign w:val="center"/>
          </w:tcPr>
          <w:p>
            <w:pPr>
              <w:pStyle w:val="9"/>
              <w:spacing w:line="578" w:lineRule="exact"/>
              <w:ind w:firstLine="472" w:firstLineChars="200"/>
              <w:rPr>
                <w:rFonts w:ascii="仿宋_GB2312" w:hAnsi="仿宋_GB2312" w:eastAsia="仿宋_GB2312" w:cs="仿宋_GB2312"/>
                <w:sz w:val="24"/>
                <w:szCs w:val="24"/>
                <w:lang w:val="zh-CN"/>
              </w:rPr>
            </w:pPr>
            <w:r>
              <w:rPr>
                <w:rFonts w:hint="eastAsia" w:ascii="仿宋_GB2312" w:hAnsi="仿宋_GB2312" w:eastAsia="仿宋_GB2312" w:cs="仿宋_GB2312"/>
                <w:sz w:val="24"/>
                <w:szCs w:val="24"/>
              </w:rPr>
              <w:t>20</w:t>
            </w:r>
            <w:r>
              <w:rPr>
                <w:rFonts w:hint="eastAsia" w:ascii="仿宋_GB2312" w:hAnsi="仿宋_GB2312" w:eastAsia="仿宋_GB2312" w:cs="仿宋_GB2312"/>
                <w:sz w:val="24"/>
                <w:szCs w:val="24"/>
                <w:lang w:val="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877" w:type="dxa"/>
            <w:vAlign w:val="center"/>
          </w:tcPr>
          <w:p>
            <w:pPr>
              <w:pStyle w:val="9"/>
              <w:spacing w:line="578" w:lineRule="exact"/>
              <w:ind w:firstLine="472" w:firstLineChars="200"/>
              <w:jc w:val="center"/>
              <w:rPr>
                <w:rFonts w:ascii="仿宋_GB2312" w:hAnsi="仿宋_GB2312" w:eastAsia="仿宋_GB2312" w:cs="仿宋_GB2312"/>
                <w:sz w:val="24"/>
                <w:szCs w:val="24"/>
              </w:rPr>
            </w:pPr>
            <w:r>
              <w:rPr>
                <w:rFonts w:hint="eastAsia" w:ascii="仿宋_GB2312" w:hAnsi="仿宋_GB2312" w:eastAsia="仿宋_GB2312" w:cs="仿宋_GB2312"/>
                <w:sz w:val="24"/>
                <w:szCs w:val="24"/>
              </w:rPr>
              <w:t>2</w:t>
            </w:r>
          </w:p>
        </w:tc>
        <w:tc>
          <w:tcPr>
            <w:tcW w:w="1874" w:type="dxa"/>
            <w:vAlign w:val="center"/>
          </w:tcPr>
          <w:p>
            <w:pPr>
              <w:pStyle w:val="9"/>
              <w:spacing w:line="578" w:lineRule="exact"/>
              <w:rPr>
                <w:rFonts w:ascii="仿宋_GB2312" w:hAnsi="仿宋_GB2312" w:eastAsia="仿宋_GB2312" w:cs="仿宋_GB2312"/>
                <w:sz w:val="24"/>
                <w:szCs w:val="24"/>
                <w:lang w:val="zh-CN"/>
              </w:rPr>
            </w:pPr>
            <w:r>
              <w:rPr>
                <w:rFonts w:hint="eastAsia" w:ascii="仿宋_GB2312" w:hAnsi="仿宋_GB2312" w:eastAsia="仿宋_GB2312" w:cs="仿宋_GB2312"/>
                <w:sz w:val="24"/>
                <w:szCs w:val="24"/>
              </w:rPr>
              <w:t>锅炉水泵房、车库及机修用房、门卫值班室</w:t>
            </w:r>
          </w:p>
        </w:tc>
        <w:tc>
          <w:tcPr>
            <w:tcW w:w="1700" w:type="dxa"/>
            <w:vAlign w:val="center"/>
          </w:tcPr>
          <w:p>
            <w:pPr>
              <w:pStyle w:val="9"/>
              <w:spacing w:line="578" w:lineRule="exact"/>
              <w:jc w:val="center"/>
              <w:rPr>
                <w:rFonts w:ascii="仿宋_GB2312" w:hAnsi="仿宋_GB2312" w:eastAsia="仿宋_GB2312" w:cs="仿宋_GB2312"/>
                <w:sz w:val="24"/>
                <w:szCs w:val="24"/>
                <w:lang w:val="zh-CN"/>
              </w:rPr>
            </w:pPr>
            <w:r>
              <w:rPr>
                <w:rFonts w:hint="eastAsia" w:ascii="仿宋_GB2312" w:hAnsi="仿宋_GB2312" w:eastAsia="仿宋_GB2312" w:cs="仿宋_GB2312"/>
                <w:sz w:val="24"/>
                <w:szCs w:val="24"/>
              </w:rPr>
              <w:t>轻</w:t>
            </w:r>
            <w:r>
              <w:rPr>
                <w:rFonts w:hint="eastAsia" w:ascii="仿宋_GB2312" w:hAnsi="仿宋_GB2312" w:eastAsia="仿宋_GB2312" w:cs="仿宋_GB2312"/>
                <w:sz w:val="24"/>
                <w:szCs w:val="24"/>
                <w:lang w:val="zh-CN"/>
              </w:rPr>
              <w:t>危险级</w:t>
            </w:r>
          </w:p>
        </w:tc>
        <w:tc>
          <w:tcPr>
            <w:tcW w:w="1133" w:type="dxa"/>
            <w:vAlign w:val="center"/>
          </w:tcPr>
          <w:p>
            <w:pPr>
              <w:pStyle w:val="9"/>
              <w:spacing w:line="578" w:lineRule="exact"/>
              <w:ind w:firstLine="472"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A</w:t>
            </w:r>
          </w:p>
        </w:tc>
        <w:tc>
          <w:tcPr>
            <w:tcW w:w="1100" w:type="dxa"/>
            <w:vAlign w:val="center"/>
          </w:tcPr>
          <w:p>
            <w:pPr>
              <w:pStyle w:val="9"/>
              <w:spacing w:line="578" w:lineRule="exact"/>
              <w:ind w:firstLine="472"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1A</w:t>
            </w:r>
          </w:p>
        </w:tc>
        <w:tc>
          <w:tcPr>
            <w:tcW w:w="1391" w:type="dxa"/>
            <w:vAlign w:val="center"/>
          </w:tcPr>
          <w:p>
            <w:pPr>
              <w:pStyle w:val="9"/>
              <w:spacing w:line="578" w:lineRule="exact"/>
              <w:rPr>
                <w:rFonts w:ascii="仿宋_GB2312" w:hAnsi="仿宋_GB2312" w:eastAsia="仿宋_GB2312" w:cs="仿宋_GB2312"/>
                <w:sz w:val="24"/>
                <w:szCs w:val="24"/>
              </w:rPr>
            </w:pPr>
            <w:r>
              <w:rPr>
                <w:rFonts w:hint="eastAsia" w:ascii="仿宋_GB2312" w:hAnsi="仿宋_GB2312" w:eastAsia="仿宋_GB2312" w:cs="仿宋_GB2312"/>
                <w:sz w:val="24"/>
                <w:szCs w:val="24"/>
              </w:rPr>
              <w:t>100</w:t>
            </w:r>
            <w:r>
              <w:rPr>
                <w:rFonts w:hint="eastAsia" w:ascii="仿宋_GB2312" w:hAnsi="仿宋_GB2312" w:eastAsia="仿宋_GB2312" w:cs="仿宋_GB2312"/>
                <w:sz w:val="24"/>
                <w:szCs w:val="24"/>
                <w:lang w:val="zh-CN"/>
              </w:rPr>
              <w:t>㎡/A</w:t>
            </w:r>
          </w:p>
        </w:tc>
        <w:tc>
          <w:tcPr>
            <w:tcW w:w="1651" w:type="dxa"/>
            <w:vAlign w:val="center"/>
          </w:tcPr>
          <w:p>
            <w:pPr>
              <w:pStyle w:val="9"/>
              <w:spacing w:line="578" w:lineRule="exact"/>
              <w:ind w:firstLine="472"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25m</w:t>
            </w:r>
          </w:p>
        </w:tc>
      </w:tr>
    </w:tbl>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配置场所均配置磷酸铵盐干粉灭火器、每个设置点配置两具。</w:t>
      </w:r>
    </w:p>
    <w:p>
      <w:pPr>
        <w:spacing w:line="578" w:lineRule="exact"/>
        <w:ind w:firstLine="632" w:firstLineChars="200"/>
        <w:rPr>
          <w:rFonts w:ascii="仿宋_GB2312" w:hAnsi="仿宋_GB2312" w:eastAsia="仿宋_GB2312" w:cs="仿宋_GB2312"/>
          <w:sz w:val="32"/>
          <w:szCs w:val="32"/>
        </w:rPr>
      </w:pPr>
      <w:bookmarkStart w:id="893" w:name="_Toc17441_WPSOffice_Level2"/>
      <w:bookmarkStart w:id="894" w:name="_Toc7221_WPSOffice_Level2"/>
      <w:r>
        <w:rPr>
          <w:rFonts w:hint="eastAsia" w:ascii="仿宋_GB2312" w:hAnsi="仿宋_GB2312" w:eastAsia="仿宋_GB2312" w:cs="仿宋_GB2312"/>
          <w:sz w:val="32"/>
          <w:szCs w:val="32"/>
        </w:rPr>
        <w:t>（6）排水系统</w:t>
      </w:r>
      <w:bookmarkEnd w:id="893"/>
      <w:bookmarkEnd w:id="894"/>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1）室外污水系统</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室外采用雨污分流制。污废水管道按非满流设计。污废水排水最大日排水量</w:t>
      </w:r>
      <w:r>
        <w:rPr>
          <w:rFonts w:hint="eastAsia" w:ascii="仿宋_GB2312" w:hAnsi="仿宋_GB2312" w:eastAsia="仿宋_GB2312" w:cs="仿宋_GB2312"/>
          <w:sz w:val="32"/>
          <w:szCs w:val="32"/>
        </w:rPr>
        <w:t>18m</w:t>
      </w:r>
      <w:r>
        <w:rPr>
          <w:rFonts w:hint="eastAsia" w:ascii="仿宋_GB2312" w:hAnsi="仿宋_GB2312" w:eastAsia="仿宋_GB2312" w:cs="仿宋_GB2312"/>
          <w:sz w:val="32"/>
          <w:szCs w:val="32"/>
          <w:lang w:val="zh-CN"/>
        </w:rPr>
        <w:t>/</w:t>
      </w:r>
      <w:r>
        <w:rPr>
          <w:rFonts w:hint="eastAsia" w:ascii="仿宋_GB2312" w:hAnsi="仿宋_GB2312" w:eastAsia="仿宋_GB2312" w:cs="仿宋_GB2312"/>
          <w:sz w:val="32"/>
          <w:szCs w:val="32"/>
        </w:rPr>
        <w:t>d。</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污水主要是少量厂区生活污水，以及来自预处理产生的垃圾渗滤液，有机垃圾发酵处理系统产生的降解液，车间地面冲洗废水等。垃圾渗滤液依托已建成的渗滤液处理站进行无害化处理。车间地面冲洗废水及车辆冲洗废水统一收集后并入</w:t>
      </w:r>
      <w:r>
        <w:rPr>
          <w:rFonts w:hint="eastAsia" w:ascii="仿宋_GB2312" w:hAnsi="仿宋_GB2312" w:eastAsia="仿宋_GB2312" w:cs="仿宋_GB2312"/>
          <w:sz w:val="32"/>
          <w:szCs w:val="32"/>
          <w:lang w:val="zh-CN"/>
        </w:rPr>
        <w:t>市政</w:t>
      </w:r>
      <w:r>
        <w:rPr>
          <w:rFonts w:hint="eastAsia" w:ascii="仿宋_GB2312" w:hAnsi="仿宋_GB2312" w:eastAsia="仿宋_GB2312" w:cs="仿宋_GB2312"/>
          <w:sz w:val="32"/>
          <w:szCs w:val="32"/>
        </w:rPr>
        <w:t>污水管网。生活污水经化粪池后，由厂区内污水管网收集后并入</w:t>
      </w:r>
      <w:r>
        <w:rPr>
          <w:rFonts w:hint="eastAsia" w:ascii="仿宋_GB2312" w:hAnsi="仿宋_GB2312" w:eastAsia="仿宋_GB2312" w:cs="仿宋_GB2312"/>
          <w:sz w:val="32"/>
          <w:szCs w:val="32"/>
          <w:lang w:val="zh-CN"/>
        </w:rPr>
        <w:t>市政</w:t>
      </w:r>
      <w:r>
        <w:rPr>
          <w:rFonts w:hint="eastAsia" w:ascii="仿宋_GB2312" w:hAnsi="仿宋_GB2312" w:eastAsia="仿宋_GB2312" w:cs="仿宋_GB2312"/>
          <w:sz w:val="32"/>
          <w:szCs w:val="32"/>
        </w:rPr>
        <w:t>污水管网。</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2）室外雨水系统</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室外采用雨污分流制，雨水经雨水口及管道汇集后，排至市政雨水管网。</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 xml:space="preserve">雨水排水系统   </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雨水流量计算时采用下列公式：</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流量计算公式</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暴雨强度：</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q=1.</w:t>
      </w:r>
      <w:r>
        <w:rPr>
          <w:rFonts w:hint="eastAsia" w:ascii="仿宋_GB2312" w:hAnsi="仿宋_GB2312" w:eastAsia="仿宋_GB2312" w:cs="仿宋_GB2312"/>
          <w:sz w:val="32"/>
          <w:szCs w:val="32"/>
        </w:rPr>
        <w:t>78</w:t>
      </w:r>
      <w:r>
        <w:rPr>
          <w:rFonts w:hint="eastAsia" w:ascii="仿宋_GB2312" w:hAnsi="仿宋_GB2312" w:eastAsia="仿宋_GB2312" w:cs="仿宋_GB2312"/>
          <w:sz w:val="32"/>
          <w:szCs w:val="32"/>
          <w:lang w:val="zh-CN"/>
        </w:rPr>
        <w:t>L/s·100m2</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设计重现期：P=</w:t>
      </w:r>
      <w:r>
        <w:rPr>
          <w:rFonts w:hint="eastAsia" w:ascii="仿宋_GB2312" w:hAnsi="仿宋_GB2312" w:eastAsia="仿宋_GB2312" w:cs="仿宋_GB2312"/>
          <w:sz w:val="32"/>
          <w:szCs w:val="32"/>
        </w:rPr>
        <w:t>3</w:t>
      </w:r>
      <w:r>
        <w:rPr>
          <w:rFonts w:hint="eastAsia" w:ascii="仿宋_GB2312" w:hAnsi="仿宋_GB2312" w:eastAsia="仿宋_GB2312" w:cs="仿宋_GB2312"/>
          <w:sz w:val="32"/>
          <w:szCs w:val="32"/>
          <w:lang w:val="zh-CN"/>
        </w:rPr>
        <w:t>a</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 xml:space="preserve">设计降雨历时：t=t1+t2 </w:t>
      </w:r>
      <w:r>
        <w:rPr>
          <w:rFonts w:hint="eastAsia" w:ascii="仿宋_GB2312" w:hAnsi="仿宋_GB2312" w:eastAsia="仿宋_GB2312" w:cs="仿宋_GB2312"/>
          <w:sz w:val="32"/>
          <w:szCs w:val="32"/>
          <w:lang w:val="zh-CN"/>
        </w:rPr>
        <w:tab/>
      </w:r>
      <w:r>
        <w:rPr>
          <w:rFonts w:hint="eastAsia" w:ascii="仿宋_GB2312" w:hAnsi="仿宋_GB2312" w:eastAsia="仿宋_GB2312" w:cs="仿宋_GB2312"/>
          <w:sz w:val="32"/>
          <w:szCs w:val="32"/>
          <w:lang w:val="zh-CN"/>
        </w:rPr>
        <w:tab/>
      </w:r>
      <w:r>
        <w:rPr>
          <w:rFonts w:hint="eastAsia" w:ascii="仿宋_GB2312" w:hAnsi="仿宋_GB2312" w:eastAsia="仿宋_GB2312" w:cs="仿宋_GB2312"/>
          <w:sz w:val="32"/>
          <w:szCs w:val="32"/>
          <w:lang w:val="zh-CN"/>
        </w:rPr>
        <w:tab/>
      </w:r>
      <w:r>
        <w:rPr>
          <w:rFonts w:hint="eastAsia" w:ascii="仿宋_GB2312" w:hAnsi="仿宋_GB2312" w:eastAsia="仿宋_GB2312" w:cs="仿宋_GB2312"/>
          <w:sz w:val="32"/>
          <w:szCs w:val="32"/>
          <w:lang w:val="zh-CN"/>
        </w:rPr>
        <w:tab/>
      </w:r>
      <w:r>
        <w:rPr>
          <w:rFonts w:hint="eastAsia" w:ascii="仿宋_GB2312" w:hAnsi="仿宋_GB2312" w:eastAsia="仿宋_GB2312" w:cs="仿宋_GB2312"/>
          <w:sz w:val="32"/>
          <w:szCs w:val="32"/>
          <w:lang w:val="zh-CN"/>
        </w:rPr>
        <w:t xml:space="preserve"> </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地面集水时间：t1=15min</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地面综合径流系数：取Ψ=0.55</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雨水设计流量按下式计算：</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Q=KΦm.F.q</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式中：</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Q-------雨水流量(L/S)</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K-------校正系数，取1</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Φm------经流系数，取0.9</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q=1.</w:t>
      </w:r>
      <w:r>
        <w:rPr>
          <w:rFonts w:hint="eastAsia" w:ascii="仿宋_GB2312" w:hAnsi="仿宋_GB2312" w:eastAsia="仿宋_GB2312" w:cs="仿宋_GB2312"/>
          <w:sz w:val="32"/>
          <w:szCs w:val="32"/>
        </w:rPr>
        <w:t>78</w:t>
      </w:r>
      <w:r>
        <w:rPr>
          <w:rFonts w:hint="eastAsia" w:ascii="仿宋_GB2312" w:hAnsi="仿宋_GB2312" w:eastAsia="仿宋_GB2312" w:cs="仿宋_GB2312"/>
          <w:sz w:val="32"/>
          <w:szCs w:val="32"/>
          <w:lang w:val="zh-CN"/>
        </w:rPr>
        <w:t>L/S.100m2</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 xml:space="preserve">F------汇水面积〔ha m2） </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场地雨水由雨水口收集后排至雨水检查井，雨水口均采用铸铁蓖子，雨水蓖低于地面30mm；雨水口连接管管径为DN200，坡度应不小于0.01；经室外雨水管道收集后排入市政雨水管网。</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3）室内排水系统</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室内排水系统采用污、废水合流制，底层单独排出。公共卫生间排水立管采用专用通气立管，其余排水立管均采用伸顶通气管。</w:t>
      </w:r>
    </w:p>
    <w:p>
      <w:pPr>
        <w:spacing w:line="578" w:lineRule="exact"/>
        <w:ind w:firstLine="632" w:firstLineChars="200"/>
        <w:rPr>
          <w:rFonts w:ascii="仿宋_GB2312" w:hAnsi="仿宋_GB2312" w:eastAsia="仿宋_GB2312" w:cs="仿宋_GB2312"/>
          <w:sz w:val="32"/>
          <w:szCs w:val="32"/>
        </w:rPr>
      </w:pPr>
      <w:bookmarkStart w:id="895" w:name="_Toc24677_WPSOffice_Level2"/>
      <w:bookmarkStart w:id="896" w:name="_Toc28999_WPSOffice_Level2"/>
      <w:r>
        <w:rPr>
          <w:rFonts w:hint="eastAsia" w:ascii="仿宋_GB2312" w:hAnsi="仿宋_GB2312" w:eastAsia="仿宋_GB2312" w:cs="仿宋_GB2312"/>
          <w:sz w:val="32"/>
          <w:szCs w:val="32"/>
        </w:rPr>
        <w:t>（7）管材敷设及接口</w:t>
      </w:r>
      <w:bookmarkEnd w:id="895"/>
      <w:bookmarkEnd w:id="896"/>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1）室内给水系统：</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室内给水支管采用PP-R塑料给水管，热熔连接，公称压力不小于1.25MPa。</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2）室内排水系统</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室内排水管采用螺旋消音UPVC排水管，采用卫生无毒聚氯乙烯粘接剂粘接。</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3）室内消防系统</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室内消火栓及自喷管道均采用热浸锌镀锌钢管，管径不大于50mm，采用螺纹连接，管径大于50mm，采用沟槽或者法兰连接；管道公称压力不小于1.6MPa。</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4）室外管道系统</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室外给水管道采用PE100塑料给水管，公称压力1.0MPa，塑料管及管件之间采用热熔连接，塑料管与金属管及阀件之间采用法兰或钢塑过渡接头连接；室外消防管采用钢丝网骨架塑料复合管，电熔连接。采用直埋敷设，采用200厚砂垫层基础。室外排水及雨水管采用高密度聚乙烯管（HDPE）双壁波纹管，管道接口采用橡胶圈连接。管道基础采用砂砾垫层基础,采用直埋敷设，采用200厚砂垫层基础。</w:t>
      </w:r>
    </w:p>
    <w:p>
      <w:pPr>
        <w:spacing w:line="578" w:lineRule="exact"/>
        <w:ind w:firstLine="632" w:firstLineChars="200"/>
        <w:rPr>
          <w:rFonts w:ascii="仿宋_GB2312" w:hAnsi="仿宋_GB2312" w:eastAsia="仿宋_GB2312" w:cs="仿宋_GB2312"/>
          <w:sz w:val="32"/>
          <w:szCs w:val="32"/>
        </w:rPr>
      </w:pPr>
      <w:bookmarkStart w:id="897" w:name="_Toc16178_WPSOffice_Level3"/>
      <w:bookmarkStart w:id="898" w:name="_Toc5821_WPSOffice_Level3"/>
      <w:bookmarkStart w:id="899" w:name="_Toc2691_WPSOffice_Level3"/>
      <w:r>
        <w:rPr>
          <w:rFonts w:hint="eastAsia" w:ascii="仿宋_GB2312" w:hAnsi="仿宋_GB2312" w:eastAsia="仿宋_GB2312" w:cs="仿宋_GB2312"/>
          <w:sz w:val="32"/>
          <w:szCs w:val="32"/>
        </w:rPr>
        <w:t>7.7.8暖通设计</w:t>
      </w:r>
      <w:bookmarkEnd w:id="897"/>
      <w:bookmarkEnd w:id="898"/>
      <w:bookmarkEnd w:id="899"/>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rPr>
        <w:t>1.设计内容：</w:t>
      </w:r>
      <w:r>
        <w:rPr>
          <w:rFonts w:hint="eastAsia" w:ascii="仿宋_GB2312" w:hAnsi="仿宋_GB2312" w:eastAsia="仿宋_GB2312" w:cs="仿宋_GB2312"/>
          <w:sz w:val="32"/>
          <w:szCs w:val="32"/>
          <w:lang w:val="zh-CN"/>
        </w:rPr>
        <w:t>建筑物采暖通风及防排烟系统设计。</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2.室外计算参数：参照酒泉市（酒泉市属严寒地区）</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冬季通风室外计算温度：-14.5℃</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冬季供暖室外计算温度：-7.5℃</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冬季大气压力：856.3hPa</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冬季室外风速：2.0m/s</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当地最大冻土深度：117cm</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夏季大气压力：847.2hPa</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夏季通风室外计算温度：26.3℃</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夏季空气调节室外计算干球温度：30.5℃</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夏季空气调节室外计算湿球温度：19.6℃</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夏季通风室外计算相对湿度：39%</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夏季室外风速：2.2m/s</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3.室内设计温度：办公室：20℃；宿舍：18℃；走道、楼梯间、卫生间：16℃。</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4.供暖设计</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（1）采暖热源：该工程供暖热源为厂区自建锅炉房，提供供、回水温度85℃/60℃的低温热水。</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（2）采暖系统设计</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分选分拣车间、分选（含纺织品、金属、玻璃、塑料、纸张、橡胶）加工存储区仓库、有毒有害存储仓库、附属综合办公宿舍楼、展示及交易用房采暖系统均采用上供下回垂直单管顺序带跨越管同程式采暖系统，供水管在顶层楼板下贴梁敷设，回水管在地沟敷设；锅炉水泵房、地下消防和生活水池、车库及机修用房采暖系统均采用上供上回双管同程式采暖系统，供回水管均在顶层楼板下贴梁敷设；变电所、门卫值班室采暖系统均采用下供下回双管同程式采暖系统，供回水管均在地沟内敷设。均采用散热器采暖，明装，系统最高点设自动排气阀进行排气。每组散热器均装自动温控阀，实现分室温控，并在采暖总入口进行热量总计量。系统热力入口处设MSV-F2型静态水力平衡阀，回水干管汇合处设手动调节阀。</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（3）设备 ,管材 ,阀门</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1）采暖散热器选用四柱760型铸铁散热器(内腔无粘砂型)，（Δt=54.5℃时，80W/片）散热器工作压力为1.0Mpa。</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2）采暖系统入口处选用SONOCAL 2000型超声波热量表。</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3）管材：采暖系统中的采暖管道公称直径DN&lt;80mm者，采用热镀锌钢管，丝口连接；DN≥80mm者，采用焊管，焊接连接。</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4）采暖系统阀门：手动调节阀采用T40H-16型，闸阀采用Z15T-16型，截止阀采用J41T-16型，三通恒温阀采用YW-203型，自动排气阀为ZP-II型（DN20），手动跑风∅1/8"。</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5）防腐：散热器经除锈后在外表面刷防锈漆两道，刷非金属白色调和漆二道；金属焊管除锈后，刷调和漆两道；金属支、吊、托架刷防锈底漆两道。</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6）保温：敷设在管沟及不采暖房间的管道均采用离心玻璃棉保温，外缠玻璃丝布两层，刷调和漆两道，保温层厚度：管径小于等于DN50为40mm，管径大于DN50为50mm。</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5.节能、环保</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1）热力管道分支处设调节装置，减少供热的不平衡。</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2）入口装置设超声波式热计量装置。</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3）散热器支管设两通温控阀进行室温调控以满足室内温度要求。</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4）设于地沟以及不采暖房间内的采暖管道设保温措施，减少无效热损失。</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6.通风系统</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1）卫生间排风道上加设BLD-140型吸顶式通风器，风量按8-10次/h换气次数确定，采用与设备排风口直径相同的玻璃纤维软管接入变压式防回流竖风道。</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分选分拣车间、分选（含纺织品、金属、玻璃、塑料、纸张、橡胶）加工存储区仓库、有毒有害存储仓库、锅炉水泵房、地下消防泵房、污水处理间设通风设施，风量按8次/h换气次数确定，机械排风，自然补风。排风为上排风，补风为下送风。</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柴油发电机房设通风系统，通风系统分为平时通风、火灾后通风和工作通风三种状态，分别满足平时（柴油机不工作）的温湿度要求、火灾后排除灭火气体通风和柴油发电机组工作所需的新风量的要求。a:平时通风采用自然通风；b:火灾后通风采用机械排风，设排风机一台，补风由门窗自然补风；c:工作通风按消除发电机组散热量计算通风量，柴油机组单独接燃烧空气管，燃烧空气量按7m3/（h.KW）计算；机械通风，设送、排风机各一台。</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4）储油间设独立通风系统，采用机械排风，风机采用防爆型风机；补风由门窗自然补风。</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5）低压室、高压室、变压器室设通风系统，机械排风，各设排风机一台，补风由门窗自然补风。</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7.防排烟系统</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占地面积大于1000平米的丙类仓库，人员或可燃物较多的丙类生产场所，丙类厂房内建筑面积大于300平米且经常有人停留或可燃物较多的地上房间，依据《建筑设计防火规范》GB50016-2014（2018年版）第8.5.3条规定，本工程设置排烟设施。</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附属综合办公宿舍楼、展示及交易用房大于20米的疏散走道，依据《建筑设计防火规范》GB50016-2014（2018年版）第8.5.3条规定，设置排烟设施。车间、仓库大于40米的疏散走道，依据《建筑设计防火规范》GB50016-2014（2018年版）第8.5.2条规定，本工程设置排烟设施。</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依据《建筑防烟排烟系统技术标准》GB51251-2017第4.2.4条规定，划分防烟分区。本工程采用自然排烟，设置高位自然排烟窗口，采用开窗角为75度上悬窗，并设置手动开启装置。补风按排烟量的60%计算，采用自然补风，由室外直接引入。</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8.抗震设计</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管道不应穿过抗震缝。当必须穿越时，应在抗震缝两边各装一个柔性管接头或在通过抗震缝处安装门形弯头或设伸缩节；管道穿过内墙或楼板时，应设置套管，套管与管道间的缝隙应填充柔性耐火材料；管道穿过建筑物的外墙或基础时，应符合下列规定：1) 管道穿越建筑物外墙时应设防水套管，管道穿越建筑物基础时应设套管。基础与管道之间应留有一定间隙，管道与套管间的缝隙内应填充柔性材料；2)当穿越的管道与建筑物外墙或基础为嵌固时，应在穿越的管道上室外就近设置柔性连接件。</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(2)通风风道的布置与敷设应符合下列规定：1)风道不应穿过抗震缝。当必须穿越时，应在抗震缝两侧各装一个柔性软接头；2) 风道穿过内墙或楼板时，应设置套管，套管与管道间的缝隙，应填充柔性耐火材料；3) 矩形截面面积大于等于0.38m2和圆形直径大于等于0.70m的风道可采用抗震支吊架。</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为防止地震时风管系统失效及跌落造成人员伤亡及财产损失，根据《建筑抗震设计规范》第1.0.2条、第3.7.1条及《建筑机电工程抗震设计规范》第1.0.4及5.1.4条为强制性条文，应对机电管线系统进行抗震加固。所有直径大于0.70m的圆形风管系统；所有截面积大于0.38m2的矩形风管都应设置抗震支吊架，且此项目抗震支吊架产品需通过FM认证，与混凝土、钢结构、木结构等须采取可靠的锚固形式。抗震支吊架的设置原则为：风管的侧向支撑最大间距9米，纵向支撑最大间距18米，（为保证抗震系统的整体安全性，对长度低于300mm的吊杆，也建议进行适当的补强），具体深化设计由专业公司完成，最终间距根据现场实际情况在深化设计阶段确定。所有产品需满足《建筑机电设备抗震支吊架通用技术条件》CJ/T476-2015。</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9.室外工程</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室外供热管道由市政热力管网引入，本工程供热介质为热水，热力管网型式采用闭式双管制。采暖管道敷设方式为直埋敷设，补偿方式为自然补偿。</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管材： 供热供回水管均采用高密度聚乙烯为外保护壳，硬质聚氨酯泡沫塑料为保温层，普通焊接钢管及无缝钢管为内管的预制保温管道。管道应符合行业标准《高密度聚乙烯外护管聚氨酯泡沫塑料预制直埋保温管》CJ/T114-2000的要求。管径DN≤125为普通焊接钢管,管径大于DN125为无缝钢管。</w:t>
      </w:r>
    </w:p>
    <w:p>
      <w:pPr>
        <w:spacing w:line="578" w:lineRule="exact"/>
        <w:ind w:firstLine="632" w:firstLineChars="200"/>
        <w:rPr>
          <w:rFonts w:ascii="仿宋_GB2312" w:hAnsi="仿宋_GB2312" w:eastAsia="仿宋_GB2312" w:cs="仿宋_GB2312"/>
          <w:sz w:val="32"/>
          <w:szCs w:val="32"/>
        </w:rPr>
      </w:pPr>
      <w:bookmarkStart w:id="900" w:name="_Toc415824683"/>
      <w:bookmarkStart w:id="901" w:name="_Toc18209_WPSOffice_Level3"/>
      <w:bookmarkStart w:id="902" w:name="_Toc7690_WPSOffice_Level3"/>
      <w:bookmarkStart w:id="903" w:name="_Toc393874769"/>
      <w:bookmarkStart w:id="904" w:name="_Toc26478_WPSOffice_Level3"/>
      <w:bookmarkStart w:id="905" w:name="_Toc341191277"/>
      <w:r>
        <w:rPr>
          <w:rFonts w:hint="eastAsia" w:ascii="仿宋_GB2312" w:hAnsi="仿宋_GB2312" w:eastAsia="仿宋_GB2312" w:cs="仿宋_GB2312"/>
          <w:sz w:val="32"/>
          <w:szCs w:val="32"/>
        </w:rPr>
        <w:t>7.7.9供配电</w:t>
      </w:r>
      <w:bookmarkEnd w:id="900"/>
      <w:bookmarkEnd w:id="901"/>
      <w:bookmarkEnd w:id="902"/>
      <w:bookmarkEnd w:id="903"/>
      <w:bookmarkEnd w:id="904"/>
      <w:bookmarkEnd w:id="905"/>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1.电源：供电电源由室外市网埋地引入一路10KV电源至10/0.4KV变配电室，供所有的电力及照明设备用电。</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为保证消防设备运行和维持部分基本的用电需要，在建筑物内设置柴油发电机组作为应急备用电源。发电机组出线侧与外网电源间设有联锁，不得并网运行。柴油发电机组在市电断电后15s内自起动并供电，并具有3次自起动功能，市电恢复后，延时自动停机。</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（1）变配电室及柴油发电机组位置：变压器室、高低压配电室、柴油发电机设置独立配电室。</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（2）低压配电系统：低压配电电压采用380/220V，TN-S系统，采用放射式和树干式相结合的配电方式供电。</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（3）设备选择：</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lang w:val="zh-CN"/>
        </w:rPr>
        <w:t>变压器选用节能环保型、低损耗、低噪音，接线组别为Dyn11的干式变压器。</w:t>
      </w:r>
      <w:r>
        <w:rPr>
          <w:rFonts w:hint="eastAsia" w:ascii="仿宋_GB2312" w:hAnsi="仿宋_GB2312" w:eastAsia="仿宋_GB2312" w:cs="仿宋_GB2312"/>
          <w:sz w:val="32"/>
          <w:szCs w:val="32"/>
        </w:rPr>
        <w:t>高压配电装置选用10KV配电装置选用KYN28型开关柜，高压配电系统为单母线运行，高压真空断路器为弹簧储能机构，采用直流操作电源。低压配电装置选用抽屉式开关柜。</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3.电力设计：</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动力配电电压为交流220/380V，配电系统接地型式采用TN-S系统。</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lang w:val="zh-CN"/>
        </w:rPr>
        <w:t>强电室外工程均采用穿ICC-碳素纤维管道，敷设于道路东南侧人行道下1.03处。消防用电干线采用WDZAH-YJ</w:t>
      </w:r>
      <w:r>
        <w:rPr>
          <w:rFonts w:hint="eastAsia" w:ascii="仿宋_GB2312" w:hAnsi="仿宋_GB2312" w:eastAsia="仿宋_GB2312" w:cs="仿宋_GB2312"/>
          <w:sz w:val="32"/>
          <w:szCs w:val="32"/>
        </w:rPr>
        <w:t>Y</w:t>
      </w:r>
      <w:r>
        <w:rPr>
          <w:rFonts w:hint="eastAsia" w:ascii="仿宋_GB2312" w:hAnsi="仿宋_GB2312" w:eastAsia="仿宋_GB2312" w:cs="仿宋_GB2312"/>
          <w:sz w:val="32"/>
          <w:szCs w:val="32"/>
          <w:lang w:val="zh-CN"/>
        </w:rPr>
        <w:t>-0.6/1KV型耐火电缆，分支线采用WDZANH-BV-450/750V阻燃电线穿钢管暗敷设，消防专用设备采用就地及消防控制室集中控制，生活泵、潜污泵根据工艺要求实行自动控制，其它动力设备采用就地控制。容量小于</w:t>
      </w:r>
      <w:r>
        <w:rPr>
          <w:rFonts w:hint="eastAsia" w:ascii="仿宋_GB2312" w:hAnsi="仿宋_GB2312" w:eastAsia="仿宋_GB2312" w:cs="仿宋_GB2312"/>
          <w:sz w:val="32"/>
          <w:szCs w:val="32"/>
        </w:rPr>
        <w:t>30KW的电机均采用直接启动方式，大于30KW(含30KW)的电机均采用降压启动方式。</w:t>
      </w:r>
      <w:r>
        <w:rPr>
          <w:rFonts w:hint="eastAsia" w:ascii="仿宋_GB2312" w:hAnsi="仿宋_GB2312" w:eastAsia="仿宋_GB2312" w:cs="仿宋_GB2312"/>
          <w:sz w:val="32"/>
          <w:szCs w:val="32"/>
          <w:lang w:val="zh-CN"/>
        </w:rPr>
        <w:t>干线采用ZR-YJV型阻燃预分支电缆及YJV型电缆、分支线采用</w:t>
      </w:r>
      <w:r>
        <w:rPr>
          <w:rFonts w:hint="eastAsia" w:ascii="仿宋_GB2312" w:hAnsi="仿宋_GB2312" w:eastAsia="仿宋_GB2312" w:cs="仿宋_GB2312"/>
          <w:sz w:val="32"/>
          <w:szCs w:val="32"/>
        </w:rPr>
        <w:t>ZR</w:t>
      </w:r>
      <w:r>
        <w:rPr>
          <w:rFonts w:hint="eastAsia" w:ascii="仿宋_GB2312" w:hAnsi="仿宋_GB2312" w:eastAsia="仿宋_GB2312" w:cs="仿宋_GB2312"/>
          <w:sz w:val="32"/>
          <w:szCs w:val="32"/>
          <w:lang w:val="zh-CN"/>
        </w:rPr>
        <w:t>BV-450/750V阻燃电线穿钢管沿地板、墙、柱等暗敷。</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消防负荷和防灾中心（消防、保安监控）、应急照明、智能化系统等均采用双回路专线供电，末端自动切换。</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为保证供电的连续性，消防负荷和防灾中心（消防、保安监控）及各智能化系统的重要电子设备还采用不间断电源（UPS）供电。</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lang w:val="zh-CN"/>
        </w:rPr>
        <w:t>配电箱（柜），电控箱（柜）均选用成套装置。</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4.防雷与接地：</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根据《建筑物防雷设计规范》GB50057-2010规定，本工程内建筑物均属于三类防雷建筑物。建筑物的防雷装置应满足防直击雷、防雷电感应及雷电波的侵入，并设置总等电位联接。在屋面不同标高的女儿墙上设φ12的镀锌圆钢接闪带，在屋面上利用结构板内钢筋作不大于20m×20m或24m×16m的网格，利用柱内钢筋做引下线，引至室外接地极。</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lang w:val="zh-CN"/>
        </w:rPr>
        <w:t>接地系统：电气采用TN-S接地系统。电源在进户处做重复接地，在变、配电室内设总等电位联结箱，带洗浴的卫生间设置局部等电位联结箱。电气与防雷采用共用接地系统，接地电阻要求不大于1欧姆。采用总等电位联结, 电源进线处距地0.5米处设总等电位联结端子箱。总等电位联结板应将建筑物内保护干线、设备进线总管、建筑物金属构件进行联结。在配电室内设置第一级浪涌保护设（SPD）。有线电视系统引入端、电信引入端等处设浪涌保护设备（SPD）。以建筑物基础做为接地极，建筑物各基础的钢筋通长焊接形成基础接地网。防雷引下线上端与避雷带焊接,下端与接地极焊接。建筑物的外墙引下线在室外地面上距地 1.8米处设测试点。 凡突出屋面的所有金属构件,如金属通风管等均应与避雷带可靠焊接</w:t>
      </w:r>
      <w:r>
        <w:rPr>
          <w:rFonts w:hint="eastAsia" w:ascii="仿宋_GB2312" w:hAnsi="仿宋_GB2312" w:eastAsia="仿宋_GB2312" w:cs="仿宋_GB2312"/>
          <w:sz w:val="32"/>
          <w:szCs w:val="32"/>
        </w:rPr>
        <w:t>。本工程内各建筑物电子信息系统防雷等级均为D级。</w:t>
      </w:r>
    </w:p>
    <w:p>
      <w:pPr>
        <w:spacing w:line="578" w:lineRule="exact"/>
        <w:ind w:firstLine="632" w:firstLineChars="200"/>
        <w:rPr>
          <w:rFonts w:ascii="仿宋_GB2312" w:hAnsi="仿宋_GB2312" w:eastAsia="仿宋_GB2312" w:cs="仿宋_GB2312"/>
          <w:sz w:val="32"/>
          <w:szCs w:val="32"/>
        </w:rPr>
      </w:pPr>
      <w:bookmarkStart w:id="906" w:name="_Toc14445_WPSOffice_Level3"/>
      <w:bookmarkStart w:id="907" w:name="_Toc21689_WPSOffice_Level3"/>
      <w:bookmarkStart w:id="908" w:name="_Toc13149_WPSOffice_Level3"/>
      <w:r>
        <w:rPr>
          <w:rFonts w:hint="eastAsia" w:ascii="仿宋_GB2312" w:hAnsi="仿宋_GB2312" w:eastAsia="仿宋_GB2312" w:cs="仿宋_GB2312"/>
          <w:sz w:val="32"/>
          <w:szCs w:val="32"/>
        </w:rPr>
        <w:t>7.7.10弱电系统设计：</w:t>
      </w:r>
      <w:bookmarkEnd w:id="906"/>
      <w:bookmarkEnd w:id="907"/>
      <w:bookmarkEnd w:id="908"/>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室外所有的弱电线路均采用穿ICC-碳素纤维管，敷设于道路西北侧人行道下1.03。</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1.火灾自动报警及联动控制系统</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采用集中报警系统，在本工程一层设置一个消防控制室。系统包括：火灾自动报警系统；消防联动控制系统；消防专用电话系统；消防应急广播系统；电气火灾监控系统；消防电源及控制接地。消防控制室内设有火灾报警控制器、消防联动控制台、消防广播控制柜、图形显示装置、消防专用电话总机、UPS电源设备等。中央电脑、CRT显示器、打印机等。消防控制中心内设有直接报警的“119”外线电话。</w:t>
      </w:r>
    </w:p>
    <w:p>
      <w:pPr>
        <w:spacing w:line="578" w:lineRule="exact"/>
        <w:ind w:firstLine="632" w:firstLineChars="200"/>
        <w:rPr>
          <w:rFonts w:ascii="仿宋_GB2312" w:hAnsi="仿宋_GB2312" w:eastAsia="仿宋_GB2312" w:cs="仿宋_GB2312"/>
          <w:sz w:val="32"/>
          <w:szCs w:val="32"/>
          <w:lang w:val="zh-CN"/>
        </w:rPr>
      </w:pPr>
      <w:bookmarkStart w:id="909" w:name="_Toc280279198"/>
      <w:bookmarkStart w:id="910" w:name="_Toc228424599"/>
      <w:r>
        <w:rPr>
          <w:rFonts w:hint="eastAsia" w:ascii="仿宋_GB2312" w:hAnsi="仿宋_GB2312" w:eastAsia="仿宋_GB2312" w:cs="仿宋_GB2312"/>
          <w:sz w:val="32"/>
          <w:szCs w:val="32"/>
        </w:rPr>
        <w:t>2.</w:t>
      </w:r>
      <w:r>
        <w:rPr>
          <w:rFonts w:hint="eastAsia" w:ascii="仿宋_GB2312" w:hAnsi="仿宋_GB2312" w:eastAsia="仿宋_GB2312" w:cs="仿宋_GB2312"/>
          <w:sz w:val="32"/>
          <w:szCs w:val="32"/>
          <w:lang w:val="zh-CN"/>
        </w:rPr>
        <w:t>综合布线系统：</w:t>
      </w:r>
      <w:bookmarkEnd w:id="909"/>
      <w:bookmarkEnd w:id="91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工程采用综合布线系统。综合布线系统除满足本楼的语音、数据、图文、图像等信息传输要求并与通信网络系统统筹规划，满足千兆网的传输要求。本工程内设保安配线架、服务器、集线器、光纤配线架及总配线架等网络设备。语音数据出线面板均采用RJ45标准面板，楼内语音干线采用大对数铜缆、数据干线采用多模光纤。水平布线均采用满足CAT6e标准的八芯非屏蔽双绞线。楼内所有线缆均穿钢管沿墙、沿顶板敷设。</w:t>
      </w:r>
      <w:bookmarkStart w:id="911" w:name="_Toc228424600"/>
      <w:bookmarkStart w:id="912" w:name="_Toc280279199"/>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rPr>
        <w:t>3.</w:t>
      </w:r>
      <w:r>
        <w:rPr>
          <w:rFonts w:hint="eastAsia" w:ascii="仿宋_GB2312" w:hAnsi="仿宋_GB2312" w:eastAsia="仿宋_GB2312" w:cs="仿宋_GB2312"/>
          <w:sz w:val="32"/>
          <w:szCs w:val="32"/>
          <w:lang w:val="zh-CN"/>
        </w:rPr>
        <w:t>有线电缆电视系统：</w:t>
      </w:r>
      <w:bookmarkEnd w:id="911"/>
      <w:bookmarkEnd w:id="912"/>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建筑物设有线电视系统，由城市有线电视网引入。有线电视系统采用“分支-分配”或“分配-分支-分配”等方式配至各用户，在一层设前端箱分配放大信号，其余层设分配箱。有线电视采用860MHZ临频传输，用户端出口电平为69±6dBuV。干线采用SYWV-75-9型同轴电缆，用户支线采用SYWV-75-5型同轴电缆沿墙体、楼板穿钢管暗敷设。</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rPr>
        <w:t>4.</w:t>
      </w:r>
      <w:r>
        <w:rPr>
          <w:rFonts w:hint="eastAsia" w:ascii="仿宋_GB2312" w:hAnsi="仿宋_GB2312" w:eastAsia="仿宋_GB2312" w:cs="仿宋_GB2312"/>
          <w:sz w:val="32"/>
          <w:szCs w:val="32"/>
          <w:lang w:val="zh-CN"/>
        </w:rPr>
        <w:t>视频监控系统：</w:t>
      </w:r>
    </w:p>
    <w:p>
      <w:pPr>
        <w:spacing w:line="578" w:lineRule="exact"/>
        <w:ind w:firstLine="632" w:firstLineChars="200"/>
        <w:rPr>
          <w:rFonts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电视监控系统主机、控制设备、显示设备、电源设备等设置在一层值班室内，在出入口、走廊、楼梯间等以及其它重要场所均设电视监控摄像头，实现对整个厂区的电视监控。图象质量按五级损伤评定，图象质量不低于4级。图像水平清晰度：黑白电视系统不低于400线，彩色电视系统不低于270线。画像画面的灰度不低于8级。系统各路视频信号，在监视器输入端的电平值为1VP-P ±3dBVBS。监视器为专用监视器。系统各部分信噪比指标分配应符合：摄像部分40dB；传输部分50dB；显示部分45dB。摄像机采用吸顶安装方式，视频采用RVV-0.5KV线缆穿钢管暗敷设。</w:t>
      </w:r>
    </w:p>
    <w:bookmarkEnd w:id="756"/>
    <w:bookmarkEnd w:id="757"/>
    <w:bookmarkEnd w:id="758"/>
    <w:bookmarkEnd w:id="833"/>
    <w:bookmarkEnd w:id="834"/>
    <w:p>
      <w:pPr>
        <w:pStyle w:val="3"/>
        <w:spacing w:beforeLines="100" w:afterLines="100" w:line="578" w:lineRule="exact"/>
        <w:jc w:val="center"/>
        <w:rPr>
          <w:rFonts w:ascii="宋体" w:hAnsi="宋体" w:eastAsia="宋体" w:cs="宋体"/>
          <w:sz w:val="36"/>
          <w:szCs w:val="36"/>
        </w:rPr>
      </w:pPr>
      <w:bookmarkStart w:id="913" w:name="_Toc5755_WPSOffice_Level1"/>
      <w:bookmarkStart w:id="914" w:name="_Toc25261_WPSOffice_Level1"/>
      <w:bookmarkStart w:id="915" w:name="_Toc14740_WPSOffice_Level1"/>
      <w:bookmarkStart w:id="916" w:name="_Toc15656_WPSOffice_Level1"/>
      <w:bookmarkStart w:id="917" w:name="_Toc18123_WPSOffice_Level1"/>
      <w:bookmarkStart w:id="918" w:name="_Toc13810_WPSOffice_Level1"/>
      <w:bookmarkStart w:id="919" w:name="_Toc21973_WPSOffice_Level1"/>
      <w:bookmarkStart w:id="920" w:name="_Toc28439_WPSOffice_Level1"/>
      <w:r>
        <w:rPr>
          <w:rFonts w:hint="eastAsia" w:ascii="宋体" w:hAnsi="宋体" w:eastAsia="宋体" w:cs="宋体"/>
          <w:sz w:val="36"/>
          <w:szCs w:val="36"/>
        </w:rPr>
        <w:t>第八章  项目环境保护</w:t>
      </w:r>
      <w:bookmarkEnd w:id="913"/>
      <w:bookmarkEnd w:id="914"/>
      <w:r>
        <w:rPr>
          <w:rFonts w:hint="eastAsia" w:ascii="宋体" w:hAnsi="宋体" w:eastAsia="宋体" w:cs="宋体"/>
          <w:sz w:val="36"/>
          <w:szCs w:val="36"/>
        </w:rPr>
        <w:t xml:space="preserve"> </w:t>
      </w:r>
    </w:p>
    <w:p>
      <w:pPr>
        <w:pStyle w:val="4"/>
        <w:spacing w:before="0" w:after="0" w:line="360" w:lineRule="auto"/>
        <w:ind w:firstLine="632" w:firstLineChars="200"/>
        <w:rPr>
          <w:rFonts w:ascii="黑体" w:hAnsi="黑体"/>
          <w:b w:val="0"/>
          <w:bCs/>
          <w:szCs w:val="32"/>
        </w:rPr>
      </w:pPr>
      <w:bookmarkStart w:id="921" w:name="_Toc2714_WPSOffice_Level2"/>
      <w:bookmarkStart w:id="922" w:name="_Toc4768_WPSOffice_Level2"/>
      <w:bookmarkStart w:id="923" w:name="_Toc10351_WPSOffice_Level2"/>
      <w:bookmarkStart w:id="924" w:name="_Toc6089_WPSOffice_Level2"/>
      <w:bookmarkStart w:id="925" w:name="_Toc2876_WPSOffice_Level2"/>
      <w:r>
        <w:rPr>
          <w:rFonts w:hint="eastAsia" w:ascii="黑体" w:hAnsi="黑体"/>
          <w:b w:val="0"/>
          <w:bCs/>
          <w:szCs w:val="32"/>
        </w:rPr>
        <w:t>8.1 设计依据</w:t>
      </w:r>
      <w:bookmarkEnd w:id="921"/>
      <w:bookmarkEnd w:id="922"/>
      <w:bookmarkEnd w:id="923"/>
      <w:bookmarkEnd w:id="924"/>
      <w:bookmarkEnd w:id="925"/>
    </w:p>
    <w:p>
      <w:pPr>
        <w:spacing w:line="578" w:lineRule="exact"/>
        <w:ind w:firstLine="632" w:firstLineChars="200"/>
        <w:rPr>
          <w:rFonts w:ascii="仿宋_GB2312" w:hAnsi="仿宋_GB2312" w:eastAsia="仿宋_GB2312" w:cs="仿宋_GB2312"/>
          <w:sz w:val="32"/>
          <w:szCs w:val="32"/>
        </w:rPr>
      </w:pPr>
      <w:bookmarkStart w:id="926" w:name="_Toc476_WPSOffice_Level3"/>
      <w:r>
        <w:rPr>
          <w:rFonts w:hint="eastAsia" w:ascii="仿宋_GB2312" w:hAnsi="仿宋_GB2312" w:eastAsia="仿宋_GB2312" w:cs="仿宋_GB2312"/>
          <w:sz w:val="32"/>
          <w:szCs w:val="32"/>
        </w:rPr>
        <w:t>8.1.1《建设项目环境保护管理条例》国务院（2017）682号令；</w:t>
      </w:r>
      <w:bookmarkEnd w:id="926"/>
    </w:p>
    <w:p>
      <w:pPr>
        <w:spacing w:line="578" w:lineRule="exact"/>
        <w:ind w:firstLine="632" w:firstLineChars="200"/>
        <w:rPr>
          <w:rFonts w:ascii="仿宋_GB2312" w:hAnsi="仿宋_GB2312" w:eastAsia="仿宋_GB2312" w:cs="仿宋_GB2312"/>
          <w:sz w:val="32"/>
          <w:szCs w:val="32"/>
        </w:rPr>
      </w:pPr>
      <w:bookmarkStart w:id="927" w:name="_Toc11224_WPSOffice_Level3"/>
      <w:r>
        <w:rPr>
          <w:rFonts w:hint="eastAsia" w:ascii="仿宋_GB2312" w:hAnsi="仿宋_GB2312" w:eastAsia="仿宋_GB2312" w:cs="仿宋_GB2312"/>
          <w:sz w:val="32"/>
          <w:szCs w:val="32"/>
        </w:rPr>
        <w:t>8.1.2《环境空气质量标准》GB3095-2012；</w:t>
      </w:r>
      <w:bookmarkEnd w:id="927"/>
    </w:p>
    <w:p>
      <w:pPr>
        <w:spacing w:line="578" w:lineRule="exact"/>
        <w:ind w:firstLine="632" w:firstLineChars="200"/>
        <w:rPr>
          <w:rFonts w:ascii="仿宋_GB2312" w:hAnsi="仿宋_GB2312" w:eastAsia="仿宋_GB2312" w:cs="仿宋_GB2312"/>
          <w:sz w:val="32"/>
          <w:szCs w:val="32"/>
        </w:rPr>
      </w:pPr>
      <w:bookmarkStart w:id="928" w:name="_Toc12306_WPSOffice_Level3"/>
      <w:r>
        <w:rPr>
          <w:rFonts w:hint="eastAsia" w:ascii="仿宋_GB2312" w:hAnsi="仿宋_GB2312" w:eastAsia="仿宋_GB2312" w:cs="仿宋_GB2312"/>
          <w:sz w:val="32"/>
          <w:szCs w:val="32"/>
        </w:rPr>
        <w:t>8.1.3《大气污染物综合排放标准》GB16297-2017；</w:t>
      </w:r>
      <w:bookmarkEnd w:id="928"/>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8.1.4《声环境质量标准》（GB3096-2008）；</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8.1.5《工业企业厂界环境噪声排放》（GB12348-2008）;</w:t>
      </w:r>
    </w:p>
    <w:p>
      <w:pPr>
        <w:spacing w:line="578" w:lineRule="exact"/>
        <w:ind w:firstLine="632" w:firstLineChars="200"/>
        <w:rPr>
          <w:rFonts w:ascii="仿宋_GB2312" w:hAnsi="仿宋_GB2312" w:eastAsia="仿宋_GB2312" w:cs="仿宋_GB2312"/>
          <w:sz w:val="32"/>
          <w:szCs w:val="32"/>
        </w:rPr>
      </w:pPr>
      <w:bookmarkStart w:id="929" w:name="_Toc28831_WPSOffice_Level3"/>
      <w:r>
        <w:rPr>
          <w:rFonts w:hint="eastAsia" w:ascii="仿宋_GB2312" w:hAnsi="仿宋_GB2312" w:eastAsia="仿宋_GB2312" w:cs="仿宋_GB2312"/>
          <w:sz w:val="32"/>
          <w:szCs w:val="32"/>
        </w:rPr>
        <w:t>8.1.6《地表水环境质量标准》GB3838-2002</w:t>
      </w:r>
      <w:bookmarkEnd w:id="929"/>
      <w:r>
        <w:rPr>
          <w:rFonts w:hint="eastAsia" w:ascii="仿宋_GB2312" w:hAnsi="仿宋_GB2312" w:eastAsia="仿宋_GB2312" w:cs="仿宋_GB2312"/>
          <w:sz w:val="32"/>
          <w:szCs w:val="32"/>
        </w:rPr>
        <w:t>；</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8.1.7《城市环境卫生设施规划规范》GB50337—2003；</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8.1.8《再生资源回收利用网络规范》GH/T1093-2014；</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8.1.9《工业企业厂界环境噪声排放标准》（GB12348-2017）；</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8.1.10《</w:t>
      </w:r>
      <w:r>
        <w:rPr>
          <w:rFonts w:ascii="仿宋_GB2312" w:hAnsi="仿宋_GB2312" w:eastAsia="仿宋_GB2312" w:cs="仿宋_GB2312"/>
          <w:sz w:val="32"/>
          <w:szCs w:val="32"/>
        </w:rPr>
        <w:t>工业企业设计卫生标准</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GBZ1-2010</w:t>
      </w:r>
      <w:r>
        <w:rPr>
          <w:rFonts w:hint="eastAsia" w:ascii="仿宋_GB2312" w:hAnsi="仿宋_GB2312" w:eastAsia="仿宋_GB2312" w:cs="仿宋_GB2312"/>
          <w:sz w:val="32"/>
          <w:szCs w:val="32"/>
        </w:rPr>
        <w:t>；</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8.1.11《危险废物贮存污染控制标准》GB18597-2013；</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8.1.12《恶臭污染物排放标准》（GB14554-93）（2018年修订征求意见稿）；</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8.1.13《社会生活环境噪声排放标准》（GB22337-2008）；</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8.1.14《污水综合排放标准》（GB8978-2009）。</w:t>
      </w:r>
    </w:p>
    <w:p>
      <w:pPr>
        <w:pStyle w:val="4"/>
        <w:spacing w:before="0" w:after="0" w:line="360" w:lineRule="auto"/>
        <w:ind w:firstLine="632" w:firstLineChars="200"/>
        <w:rPr>
          <w:rFonts w:ascii="黑体" w:hAnsi="黑体"/>
          <w:b w:val="0"/>
          <w:bCs/>
          <w:szCs w:val="32"/>
        </w:rPr>
      </w:pPr>
      <w:bookmarkStart w:id="930" w:name="_Toc2588_WPSOffice_Level2"/>
      <w:bookmarkStart w:id="931" w:name="_Toc11224_WPSOffice_Level2"/>
      <w:bookmarkStart w:id="932" w:name="_Toc8333_WPSOffice_Level2"/>
      <w:bookmarkStart w:id="933" w:name="_Toc27438_WPSOffice_Level2"/>
      <w:bookmarkStart w:id="934" w:name="_Toc23361_WPSOffice_Level2"/>
      <w:r>
        <w:rPr>
          <w:rFonts w:hint="eastAsia" w:ascii="黑体" w:hAnsi="黑体"/>
          <w:b w:val="0"/>
          <w:bCs/>
          <w:szCs w:val="32"/>
        </w:rPr>
        <w:t>8.2 项目环境影响因素</w:t>
      </w:r>
      <w:bookmarkEnd w:id="930"/>
      <w:bookmarkEnd w:id="931"/>
      <w:bookmarkEnd w:id="932"/>
      <w:bookmarkEnd w:id="933"/>
      <w:bookmarkEnd w:id="934"/>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本项目在建设期、运营期对环境带来的影响主要包含对大气环境、声环境、水环境的影响。</w:t>
      </w:r>
    </w:p>
    <w:p>
      <w:pPr>
        <w:spacing w:line="578" w:lineRule="exact"/>
        <w:ind w:firstLine="632" w:firstLineChars="200"/>
        <w:rPr>
          <w:rFonts w:ascii="仿宋_GB2312" w:hAnsi="仿宋_GB2312" w:eastAsia="仿宋_GB2312" w:cs="仿宋_GB2312"/>
          <w:sz w:val="32"/>
          <w:szCs w:val="32"/>
        </w:rPr>
      </w:pPr>
      <w:bookmarkStart w:id="935" w:name="_Toc18210_WPSOffice_Level3"/>
      <w:bookmarkStart w:id="936" w:name="_Toc20610_WPSOffice_Level3"/>
      <w:bookmarkStart w:id="937" w:name="_Toc16122_WPSOffice_Level3"/>
      <w:bookmarkStart w:id="938" w:name="_Toc22411_WPSOffice_Level3"/>
      <w:bookmarkStart w:id="939" w:name="_Toc3978_WPSOffice_Level3"/>
      <w:bookmarkStart w:id="940" w:name="_Toc9660_WPSOffice_Level3"/>
      <w:bookmarkStart w:id="941" w:name="_Toc2765_WPSOffice_Level3"/>
      <w:bookmarkStart w:id="942" w:name="_Toc25332_WPSOffice_Level3"/>
      <w:r>
        <w:rPr>
          <w:rFonts w:hint="eastAsia" w:ascii="仿宋_GB2312" w:hAnsi="仿宋_GB2312" w:eastAsia="仿宋_GB2312" w:cs="仿宋_GB2312"/>
          <w:sz w:val="32"/>
          <w:szCs w:val="32"/>
        </w:rPr>
        <w:t>（1）对大气环境的影响</w:t>
      </w:r>
      <w:bookmarkEnd w:id="935"/>
      <w:bookmarkEnd w:id="936"/>
      <w:bookmarkEnd w:id="937"/>
      <w:bookmarkEnd w:id="938"/>
      <w:bookmarkEnd w:id="939"/>
      <w:bookmarkEnd w:id="940"/>
      <w:bookmarkEnd w:id="941"/>
      <w:bookmarkEnd w:id="942"/>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垃圾运输时会产生尘埃污染、臭气污染，主要来自垃圾装卸口及压滤液，臭气中主要特征污染物为NH3、H2S。NH3为无色气体，浓度在100mg/m3时会刺激呼吸道，700mg/m3时可危机生命，大量吸入可引起支气管炎和肺炎，低浓度长时间接触，可引起喉炎，造成声音嘶哑。H2S为无色有蛋臭味气体，浓度在98~210Mg/m3时，人产生轻度急性中毒，高浓度时大量吸入，可使意识突然丧失、昏迷、窒息而亡。</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在分拣中心建设时施工产生的的扬尘，即基础设施的建设过程中，由于防护措施不能到位，可能对大气环境形成污染。</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在分拣中心垃圾的倾倒，会产生大量粉尘，随季节变化及滞留时间长短，会不同程度的散发出恶臭气体。造成恶臭的主要成分是氨、硫化氢、甲硫醇、甲硫醚等，这些有害物质会通过每个倾倒口向外逸出。</w:t>
      </w:r>
    </w:p>
    <w:p>
      <w:pPr>
        <w:spacing w:line="578" w:lineRule="exact"/>
        <w:ind w:firstLine="632" w:firstLineChars="200"/>
        <w:rPr>
          <w:rFonts w:ascii="仿宋_GB2312" w:hAnsi="仿宋_GB2312" w:eastAsia="仿宋_GB2312" w:cs="仿宋_GB2312"/>
          <w:sz w:val="32"/>
          <w:szCs w:val="32"/>
        </w:rPr>
      </w:pPr>
      <w:bookmarkStart w:id="943" w:name="_Toc966_WPSOffice_Level3"/>
      <w:bookmarkStart w:id="944" w:name="_Toc16859_WPSOffice_Level3"/>
      <w:bookmarkStart w:id="945" w:name="_Toc5475_WPSOffice_Level3"/>
      <w:bookmarkStart w:id="946" w:name="_Toc25645_WPSOffice_Level3"/>
      <w:bookmarkStart w:id="947" w:name="_Toc31956_WPSOffice_Level3"/>
      <w:bookmarkStart w:id="948" w:name="_Toc13907_WPSOffice_Level3"/>
      <w:bookmarkStart w:id="949" w:name="_Toc25565_WPSOffice_Level3"/>
      <w:bookmarkStart w:id="950" w:name="_Toc27263_WPSOffice_Level3"/>
      <w:r>
        <w:rPr>
          <w:rFonts w:hint="eastAsia" w:ascii="仿宋_GB2312" w:hAnsi="仿宋_GB2312" w:eastAsia="仿宋_GB2312" w:cs="仿宋_GB2312"/>
          <w:sz w:val="32"/>
          <w:szCs w:val="32"/>
        </w:rPr>
        <w:t>（2）对声环境的影响</w:t>
      </w:r>
      <w:bookmarkEnd w:id="943"/>
      <w:bookmarkEnd w:id="944"/>
      <w:bookmarkEnd w:id="945"/>
      <w:bookmarkEnd w:id="946"/>
      <w:bookmarkEnd w:id="947"/>
      <w:bookmarkEnd w:id="948"/>
      <w:bookmarkEnd w:id="949"/>
      <w:bookmarkEnd w:id="95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噪音的来源主要是机械设备本身运作时产生的噪音。其中机械设备与其他对象的接触噪音和施工机械噪音是主要的污染源。</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本项目投入使用后，对声环境的主要影响为车辆的发动机机械噪声，喇叭鸣笛噪声，泵、压缩机等设备运行中的机械噪音污染等。</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噪声会损伤人的听力，造成听力减退及损伤；会影响人的神经系统：噪声作用于人的中枢神经系统，使大脑皮层的兴奋和抑制平衡失调，导致条件反射异常；会影响人的心血管系统，噪声可以使交感神经紧张，从而导致心跳加剧，心律不齐，血压高等。控制噪声，减少噪声对环境的污染正成为人类十分重视并且努力解决的重大问题。</w:t>
      </w:r>
    </w:p>
    <w:p>
      <w:pPr>
        <w:spacing w:line="578" w:lineRule="exact"/>
        <w:ind w:firstLine="632" w:firstLineChars="200"/>
        <w:rPr>
          <w:rFonts w:ascii="仿宋_GB2312" w:hAnsi="仿宋_GB2312" w:eastAsia="仿宋_GB2312" w:cs="仿宋_GB2312"/>
          <w:sz w:val="32"/>
          <w:szCs w:val="32"/>
        </w:rPr>
      </w:pPr>
      <w:bookmarkStart w:id="951" w:name="_Toc21718_WPSOffice_Level3"/>
      <w:bookmarkStart w:id="952" w:name="_Toc20034_WPSOffice_Level3"/>
      <w:bookmarkStart w:id="953" w:name="_Toc31327_WPSOffice_Level3"/>
      <w:r>
        <w:rPr>
          <w:rFonts w:hint="eastAsia" w:ascii="仿宋_GB2312" w:hAnsi="仿宋_GB2312" w:eastAsia="仿宋_GB2312" w:cs="仿宋_GB2312"/>
          <w:sz w:val="32"/>
          <w:szCs w:val="32"/>
        </w:rPr>
        <w:t>（3）对水环境的影响</w:t>
      </w:r>
      <w:bookmarkEnd w:id="951"/>
      <w:bookmarkEnd w:id="952"/>
      <w:bookmarkEnd w:id="953"/>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拟建项目的废水主要为垃圾压缩时产生的压滤液、地面及车辆冲洗废水，主要水污染物为COD、BOD、SS和氨氮。</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1）垃圾渗滤液</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渗滤液成份十分复杂，通常包含高浓度的可溶有机物及无机离子，包含大量的氨氟和各种溶解态的阳离子，还有一些重金属、酚类、单宁，可溶性脂肪酸及其它的有机污染物，其各种成分变化很大，主要取决于垃圾成分和垃圾堆放的时间等。此外，平均色度达251度，金属含量不高，以色质联机对有机物定性分析发现渗滤液中有机物最高含碳数可达12，主要为环烷烃、酯类、羧酸类、苯酚和硫磺等，如果直接排放，将会对区域水环境及土壤环境产生较大影响。</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2）地面和车辆冲洗废水</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对垃圾压缩间地面、垃圾运输车辆需进行冲洗。此类废水水质较复杂，包含高浓度的可溶有机物及无机离子，包含大量的氨氮和各种溶解态的氧离子，还有一些重金属、酚类、可溶性脂肪酸及其它的有机污染物。</w:t>
      </w:r>
    </w:p>
    <w:p>
      <w:pPr>
        <w:pStyle w:val="4"/>
        <w:spacing w:before="0" w:after="0" w:line="360" w:lineRule="auto"/>
        <w:ind w:firstLine="632" w:firstLineChars="200"/>
        <w:rPr>
          <w:rFonts w:ascii="黑体" w:hAnsi="黑体"/>
          <w:b w:val="0"/>
          <w:bCs/>
          <w:szCs w:val="32"/>
        </w:rPr>
      </w:pPr>
      <w:bookmarkStart w:id="954" w:name="_Toc17026_WPSOffice_Level2"/>
      <w:bookmarkStart w:id="955" w:name="_Toc12306_WPSOffice_Level2"/>
      <w:bookmarkStart w:id="956" w:name="_Toc30011_WPSOffice_Level2"/>
      <w:bookmarkStart w:id="957" w:name="_Toc28286_WPSOffice_Level2"/>
      <w:bookmarkStart w:id="958" w:name="_Toc9440_WPSOffice_Level2"/>
      <w:r>
        <w:rPr>
          <w:rFonts w:hint="eastAsia" w:ascii="黑体" w:hAnsi="黑体"/>
          <w:b w:val="0"/>
          <w:bCs/>
          <w:szCs w:val="32"/>
        </w:rPr>
        <w:t>8.3 项目环保措施</w:t>
      </w:r>
      <w:bookmarkEnd w:id="954"/>
      <w:bookmarkEnd w:id="955"/>
      <w:bookmarkEnd w:id="956"/>
      <w:bookmarkEnd w:id="957"/>
      <w:bookmarkEnd w:id="958"/>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在施工中要加强施工期环境管理，明确施工范围，加强施工人员培训教育，做好区域环境保护工作，严格控制和管理运输车辆及重型机械施工的作业范围。</w:t>
      </w:r>
    </w:p>
    <w:p>
      <w:pPr>
        <w:spacing w:line="578" w:lineRule="exact"/>
        <w:ind w:firstLine="632" w:firstLineChars="200"/>
        <w:rPr>
          <w:rFonts w:ascii="仿宋_GB2312" w:hAnsi="仿宋_GB2312" w:eastAsia="仿宋_GB2312" w:cs="仿宋_GB2312"/>
          <w:sz w:val="32"/>
          <w:szCs w:val="32"/>
        </w:rPr>
      </w:pPr>
      <w:bookmarkStart w:id="959" w:name="_Toc21973_WPSOffice_Level3"/>
      <w:bookmarkStart w:id="960" w:name="_Toc3039_WPSOffice_Level3"/>
      <w:bookmarkStart w:id="961" w:name="_Toc22240_WPSOffice_Level3"/>
      <w:bookmarkStart w:id="962" w:name="_Toc24228_WPSOffice_Level3"/>
      <w:bookmarkStart w:id="963" w:name="_Toc29486_WPSOffice_Level3"/>
      <w:bookmarkStart w:id="964" w:name="_Toc8664_WPSOffice_Level3"/>
      <w:bookmarkStart w:id="965" w:name="_Toc1351_WPSOffice_Level3"/>
      <w:bookmarkStart w:id="966" w:name="_Toc28556_WPSOffice_Level3"/>
      <w:r>
        <w:rPr>
          <w:rFonts w:hint="eastAsia" w:ascii="仿宋_GB2312" w:hAnsi="仿宋_GB2312" w:eastAsia="仿宋_GB2312" w:cs="仿宋_GB2312"/>
          <w:sz w:val="32"/>
          <w:szCs w:val="32"/>
        </w:rPr>
        <w:t>（1）对大气环境的保护措施</w:t>
      </w:r>
      <w:bookmarkEnd w:id="959"/>
      <w:bookmarkEnd w:id="960"/>
      <w:bookmarkEnd w:id="961"/>
      <w:bookmarkEnd w:id="962"/>
      <w:bookmarkEnd w:id="963"/>
      <w:bookmarkEnd w:id="964"/>
      <w:bookmarkEnd w:id="965"/>
      <w:bookmarkEnd w:id="966"/>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针对恶臭、扬尘这两种主要污染源，拟采取以下污染防治措施：</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1）所有垃圾运输车均采用密闭式车辆，并安装垃圾渗滤液收集装置，运输过程中垃圾不外露，也不会遗洒垃圾和渗滤液，因此，垃圾运输车几乎不产生扬尘、NH3和H2S，对垃圾分拣中心周边大气环境影响很小；</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2）垃圾压缩区为一体化密闭设备，臭气不会外溢造成影响；</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在转运车厢内料斗和翻斗上安装简易喷淋除臭装置，采用天然植物提取除臭液除臭。天然植物除臭液是从三百多种天然植物里提取汁液，经科学混合、配制而成，具有植物芳香型的水溶性乳化有色液体，有酸性、碱性和中性多种，其中的有效分子含有共轭双键等活性基团，化学、物理性质稳定。反应的最后产物为无害的分子，如水、氧、氮等，从而达到有效除味的目的。由于天然植物液除味剂与异味分子反应后不产生任何副产品，因此不存在二次污染等问题。当收集车垃圾卸料时，进行喷淋除臭，对主要恶臭污染物H2S、NH3脱臭率可达到约90%，预计其废气排放：H2S浓度&lt;0.06mg/m3、NH3浓度&lt;1.5mg/m3,营运中产生的恶臭浓度值将达到恶臭排放标准；生产过程产生的粉尘经喷雾降尘处理后，能实行达标排放，粉尘浓度&lt;0.2mg/m3；</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4）对厂区周边加强乔木、灌木的种植，依靠植物吸收，减缓恶臭影响；</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5）采用密闭的运输车辆并及时进行车辆冲洗；</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6）减缓转运过程中恶臭影响的主要措施包括：①确定合理的收运时间，及时清理，且垃圾收运宜安排在清晨9:00之前完成；②使用专用垃圾转运车，做到密闭防漏洒；③所有运输车辆均采取密闭措施，车辆出场时，需对轮胎进行冲洗；</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7）在分拣中心建设时应做好防护工作，以免防尘措施不到位致使尘土飞扬。</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9）在非雨天时，每天对进场道路进行两次洒水，车辆出厂时，均对轮胎进行冲洗；</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10）在压缩车厢上方设置喷雾设置，在装卸垃圾时进行喷雾降尘；</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11）加强厂区绿化，尽可能减少对环境的影响。</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本工程中采用的措施为常用、成熟、可靠的方法，对外环境的影响甚微，大气防治措施从技术经济角度可行。</w:t>
      </w:r>
    </w:p>
    <w:p>
      <w:pPr>
        <w:spacing w:line="578" w:lineRule="exact"/>
        <w:ind w:firstLine="632" w:firstLineChars="200"/>
        <w:rPr>
          <w:rFonts w:ascii="仿宋_GB2312" w:hAnsi="仿宋_GB2312" w:eastAsia="仿宋_GB2312" w:cs="仿宋_GB2312"/>
          <w:sz w:val="32"/>
          <w:szCs w:val="32"/>
        </w:rPr>
      </w:pPr>
      <w:bookmarkStart w:id="967" w:name="_Toc628_WPSOffice_Level3"/>
      <w:bookmarkStart w:id="968" w:name="_Toc3467_WPSOffice_Level3"/>
      <w:bookmarkStart w:id="969" w:name="_Toc30170_WPSOffice_Level3"/>
      <w:bookmarkStart w:id="970" w:name="_Toc28403_WPSOffice_Level3"/>
      <w:bookmarkStart w:id="971" w:name="_Toc32414_WPSOffice_Level3"/>
      <w:bookmarkStart w:id="972" w:name="_Toc6778_WPSOffice_Level3"/>
      <w:bookmarkStart w:id="973" w:name="_Toc30221_WPSOffice_Level3"/>
      <w:bookmarkStart w:id="974" w:name="_Toc2248_WPSOffice_Level3"/>
      <w:r>
        <w:rPr>
          <w:rFonts w:hint="eastAsia" w:ascii="仿宋_GB2312" w:hAnsi="仿宋_GB2312" w:eastAsia="仿宋_GB2312" w:cs="仿宋_GB2312"/>
          <w:sz w:val="32"/>
          <w:szCs w:val="32"/>
        </w:rPr>
        <w:t>（2）对声环境的保护措施</w:t>
      </w:r>
      <w:bookmarkEnd w:id="967"/>
      <w:bookmarkEnd w:id="968"/>
      <w:bookmarkEnd w:id="969"/>
      <w:bookmarkEnd w:id="970"/>
      <w:bookmarkEnd w:id="971"/>
      <w:bookmarkEnd w:id="972"/>
      <w:bookmarkEnd w:id="973"/>
      <w:bookmarkEnd w:id="974"/>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机械设备噪声源可视为点声源，减噪的主要措施是：改善施工方法，可有效降低撞击噪音；加强管理，合理安排施工作业时间，禁止夜间（22时至次日6时）进行产生环境噪声污染建筑施工作业。尽量减少运行设备数量，尽可能均匀使用，并对设备及时检修、保养，加装设备防震垫进行防振，并加装防音罩。</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施工噪音污染随工程建设期的结束而结束，因此污染也是短期的。</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加强管理，设置禁鸣标志。针对机电设备噪声采取相应的消声措施。</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1）选用低噪声设备，设备基础进行隔震处理，管道与设备接口采用软接口，并安装消声装置。</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2）采取选用优质低噪设备、加强运行管理保证措施，使其始终处于低噪音运行水平，可大大降低环境的噪声污染。</w:t>
      </w:r>
    </w:p>
    <w:p>
      <w:pPr>
        <w:spacing w:line="578" w:lineRule="exact"/>
        <w:ind w:firstLine="632" w:firstLineChars="200"/>
        <w:rPr>
          <w:rFonts w:ascii="仿宋_GB2312" w:hAnsi="仿宋_GB2312" w:eastAsia="仿宋_GB2312" w:cs="仿宋_GB2312"/>
          <w:sz w:val="32"/>
          <w:szCs w:val="32"/>
        </w:rPr>
      </w:pPr>
      <w:bookmarkStart w:id="975" w:name="_Toc28198_WPSOffice_Level3"/>
      <w:bookmarkStart w:id="976" w:name="_Toc14688_WPSOffice_Level3"/>
      <w:bookmarkStart w:id="977" w:name="_Toc11786_WPSOffice_Level3"/>
      <w:r>
        <w:rPr>
          <w:rFonts w:hint="eastAsia" w:ascii="仿宋_GB2312" w:hAnsi="仿宋_GB2312" w:eastAsia="仿宋_GB2312" w:cs="仿宋_GB2312"/>
          <w:sz w:val="32"/>
          <w:szCs w:val="32"/>
        </w:rPr>
        <w:t>（3）对水环境的保护措施</w:t>
      </w:r>
      <w:bookmarkEnd w:id="975"/>
      <w:bookmarkEnd w:id="976"/>
      <w:bookmarkEnd w:id="977"/>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分拣中心内压缩产生的渗滤液及清洗设备等生产污水预处理后统一处理。垃圾渗滤液依托已建成的渗滤液处理站进行无害化处理。车间地面冲洗废水及车辆冲洗废水统一收集后并入城市污水管网。生活污水经化粪池后，由厂区内污水管网收集后并入城市污水管网。不会对环境造成影响。</w:t>
      </w:r>
    </w:p>
    <w:p>
      <w:pPr>
        <w:pStyle w:val="4"/>
        <w:spacing w:before="0" w:after="0" w:line="360" w:lineRule="auto"/>
        <w:ind w:firstLine="632" w:firstLineChars="200"/>
        <w:rPr>
          <w:rFonts w:ascii="黑体" w:hAnsi="黑体"/>
          <w:b w:val="0"/>
          <w:bCs/>
          <w:szCs w:val="32"/>
        </w:rPr>
      </w:pPr>
      <w:bookmarkStart w:id="978" w:name="_Toc21973_WPSOffice_Level2"/>
      <w:bookmarkStart w:id="979" w:name="_Toc12474_WPSOffice_Level2"/>
      <w:bookmarkStart w:id="980" w:name="_Toc6948_WPSOffice_Level2"/>
      <w:bookmarkStart w:id="981" w:name="_Toc7457_WPSOffice_Level2"/>
      <w:bookmarkStart w:id="982" w:name="_Toc19241_WPSOffice_Level2"/>
      <w:r>
        <w:rPr>
          <w:rFonts w:hint="eastAsia" w:ascii="黑体" w:hAnsi="黑体"/>
          <w:b w:val="0"/>
          <w:bCs/>
          <w:szCs w:val="32"/>
        </w:rPr>
        <w:t>8.4环境影响综合评价</w:t>
      </w:r>
      <w:bookmarkEnd w:id="978"/>
      <w:bookmarkEnd w:id="979"/>
      <w:bookmarkEnd w:id="980"/>
      <w:bookmarkEnd w:id="981"/>
      <w:bookmarkEnd w:id="982"/>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从上述分析可以看出，本工程属轻微污染项目，对周围环境的影响极其有限，并且本项目的实施能有效减少垃圾对环境的影响。</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（1）提高了废品回收利用的比例，能源再生，减少了原材料的需求，减少二氧化碳的排放。</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（2）将易腐有机成分为主的厨房垃圾单独分类，为垃圾堆肥提供优质原料，生产出优质的有机肥，这样有利于改善土壤肥力，减少化肥施用量。</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（3）把有害垃圾分类出来，减少了垃圾中的重金属、有机污染物、致病菌的含量，有利于垃圾的无害化处理，减少了垃圾处理的水、土壤、大气污染风险。</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因此本项目从环评的角度是积极可行的。</w:t>
      </w:r>
    </w:p>
    <w:p>
      <w:pPr>
        <w:pStyle w:val="21"/>
        <w:ind w:firstLine="811"/>
        <w:rPr>
          <w:rFonts w:ascii="仿宋_GB2312" w:hAnsi="仿宋_GB2312" w:eastAsia="仿宋_GB2312" w:cs="仿宋_GB2312"/>
          <w:sz w:val="32"/>
          <w:szCs w:val="32"/>
        </w:rPr>
      </w:pPr>
    </w:p>
    <w:p>
      <w:pPr>
        <w:rPr>
          <w:rFonts w:ascii="仿宋_GB2312" w:hAnsi="仿宋_GB2312" w:eastAsia="仿宋_GB2312" w:cs="仿宋_GB2312"/>
          <w:sz w:val="32"/>
          <w:szCs w:val="32"/>
        </w:rPr>
      </w:pPr>
    </w:p>
    <w:p>
      <w:pPr>
        <w:pStyle w:val="21"/>
        <w:ind w:firstLine="811"/>
        <w:rPr>
          <w:rFonts w:ascii="仿宋_GB2312" w:hAnsi="仿宋_GB2312" w:eastAsia="仿宋_GB2312" w:cs="仿宋_GB2312"/>
          <w:sz w:val="32"/>
          <w:szCs w:val="32"/>
        </w:rPr>
      </w:pPr>
    </w:p>
    <w:p>
      <w:pPr>
        <w:rPr>
          <w:rFonts w:ascii="仿宋_GB2312" w:hAnsi="仿宋_GB2312" w:eastAsia="仿宋_GB2312" w:cs="仿宋_GB2312"/>
          <w:sz w:val="32"/>
          <w:szCs w:val="32"/>
        </w:rPr>
      </w:pPr>
    </w:p>
    <w:p>
      <w:pPr>
        <w:pStyle w:val="21"/>
        <w:ind w:firstLine="811"/>
        <w:rPr>
          <w:rFonts w:ascii="仿宋_GB2312" w:hAnsi="仿宋_GB2312" w:eastAsia="仿宋_GB2312" w:cs="仿宋_GB2312"/>
          <w:sz w:val="32"/>
          <w:szCs w:val="32"/>
        </w:rPr>
      </w:pPr>
    </w:p>
    <w:p/>
    <w:p>
      <w:pPr>
        <w:pStyle w:val="3"/>
        <w:spacing w:beforeLines="100" w:afterLines="100" w:line="578" w:lineRule="exact"/>
        <w:jc w:val="center"/>
        <w:rPr>
          <w:rFonts w:ascii="宋体" w:hAnsi="宋体" w:eastAsia="宋体" w:cs="宋体"/>
          <w:sz w:val="36"/>
          <w:szCs w:val="36"/>
        </w:rPr>
      </w:pPr>
      <w:bookmarkStart w:id="983" w:name="_Toc29106_WPSOffice_Level1"/>
      <w:r>
        <w:rPr>
          <w:rFonts w:hint="eastAsia" w:ascii="宋体" w:hAnsi="宋体" w:eastAsia="宋体" w:cs="宋体"/>
          <w:sz w:val="36"/>
          <w:szCs w:val="36"/>
        </w:rPr>
        <w:t>第九章  项目组织机构</w:t>
      </w:r>
      <w:bookmarkEnd w:id="915"/>
      <w:bookmarkEnd w:id="916"/>
      <w:bookmarkEnd w:id="917"/>
      <w:bookmarkEnd w:id="918"/>
      <w:bookmarkEnd w:id="919"/>
      <w:bookmarkEnd w:id="920"/>
      <w:bookmarkEnd w:id="983"/>
    </w:p>
    <w:p>
      <w:pPr>
        <w:pStyle w:val="4"/>
        <w:spacing w:before="0" w:after="0" w:line="360" w:lineRule="auto"/>
        <w:ind w:firstLine="632" w:firstLineChars="200"/>
        <w:rPr>
          <w:rFonts w:ascii="黑体" w:hAnsi="黑体"/>
          <w:b w:val="0"/>
          <w:bCs/>
          <w:szCs w:val="32"/>
        </w:rPr>
      </w:pPr>
      <w:bookmarkStart w:id="984" w:name="_Toc6053_WPSOffice_Level2"/>
      <w:bookmarkStart w:id="985" w:name="_Toc30604_WPSOffice_Level2"/>
      <w:bookmarkStart w:id="986" w:name="_Toc25108_WPSOffice_Level2"/>
      <w:bookmarkStart w:id="987" w:name="_Toc9192_WPSOffice_Level2"/>
      <w:bookmarkStart w:id="988" w:name="_Toc28031_WPSOffice_Level2"/>
      <w:bookmarkStart w:id="989" w:name="_Toc18156_WPSOffice_Level2"/>
      <w:bookmarkStart w:id="990" w:name="_Toc32336_WPSOffice_Level2"/>
      <w:bookmarkStart w:id="991" w:name="_Toc30170_WPSOffice_Level2"/>
      <w:r>
        <w:rPr>
          <w:rFonts w:hint="eastAsia" w:ascii="黑体" w:hAnsi="黑体"/>
          <w:b w:val="0"/>
          <w:bCs/>
          <w:szCs w:val="32"/>
        </w:rPr>
        <w:t>9.1成立项目协调领导小组</w:t>
      </w:r>
      <w:bookmarkEnd w:id="984"/>
      <w:bookmarkEnd w:id="985"/>
      <w:bookmarkEnd w:id="986"/>
      <w:bookmarkEnd w:id="987"/>
      <w:bookmarkEnd w:id="988"/>
      <w:bookmarkEnd w:id="989"/>
      <w:bookmarkEnd w:id="99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为确保该项目顺利实施，根据嘉峪关市城市生活垃圾分类制度实施方案》（嘉政办发〔2018〕233号）的通知要求，嘉峪关市应成立项目工作领导小组，研究部署涉及项目建设全局的重大事项。组长由分管副市长担任，副组长由市发改委主任、市环卫局局长担任。长城区、镜铁区、雄关区及市文明办等22个相关部门主要领导为成员。项目领导小组下设办公室，具体负责项目的规划、设计、管理等工作。</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领导小组主要职能：组织落实项目年度实施计划，积极与有关部门汇报衔接项目实施具体事宜，保障项目资金安排和到位：协调各实施部门之间的关系：解决项目在执行过程中的重大问题，进行项目管理等。为确保项目能如期顺利完成，在领导小组的指导帮助下嘉峪关市环卫局应专门成立领导小组并下设办公室，办公室具体负责项目计划编制、施工设计规划、工程预算、决算、招标、施工、质量监督、设备购置和竣工验收等。同时加强与建设部门联系，定期进行质量检查，并随时接受上级业务主管部门的检查监督。</w:t>
      </w:r>
    </w:p>
    <w:p>
      <w:pPr>
        <w:pStyle w:val="4"/>
        <w:spacing w:before="0" w:after="0" w:line="360" w:lineRule="auto"/>
        <w:ind w:firstLine="632" w:firstLineChars="200"/>
        <w:rPr>
          <w:rFonts w:ascii="黑体" w:hAnsi="黑体"/>
          <w:b w:val="0"/>
          <w:bCs/>
          <w:szCs w:val="32"/>
        </w:rPr>
      </w:pPr>
      <w:bookmarkStart w:id="992" w:name="_Toc10100_WPSOffice_Level2"/>
      <w:bookmarkStart w:id="993" w:name="_Toc13989_WPSOffice_Level2"/>
      <w:bookmarkStart w:id="994" w:name="_Toc9351_WPSOffice_Level2"/>
      <w:bookmarkStart w:id="995" w:name="_Toc12905_WPSOffice_Level2"/>
      <w:bookmarkStart w:id="996" w:name="_Toc6893_WPSOffice_Level2"/>
      <w:bookmarkStart w:id="997" w:name="_Toc28152_WPSOffice_Level2"/>
      <w:bookmarkStart w:id="998" w:name="_Toc16028_WPSOffice_Level2"/>
      <w:r>
        <w:rPr>
          <w:rFonts w:hint="eastAsia" w:ascii="黑体" w:hAnsi="黑体"/>
          <w:b w:val="0"/>
          <w:bCs/>
          <w:szCs w:val="32"/>
        </w:rPr>
        <w:t>9.2项目管理</w:t>
      </w:r>
      <w:bookmarkEnd w:id="992"/>
      <w:bookmarkEnd w:id="993"/>
      <w:bookmarkEnd w:id="994"/>
      <w:bookmarkEnd w:id="995"/>
      <w:bookmarkEnd w:id="996"/>
      <w:bookmarkEnd w:id="997"/>
      <w:bookmarkEnd w:id="998"/>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项目按照有关规定和程序严格进行招投标，实行合同管理，落实具体责任单位和责任人，按照建设任务、内容和设计要求，严格监督检查和考核：加强对项目建设的质量监督，由质量检查小组对每个项目进行现场监理、跟踪检查、阶段验收，确保工程质量进度和效益。</w:t>
      </w:r>
    </w:p>
    <w:p>
      <w:pPr>
        <w:pStyle w:val="4"/>
        <w:spacing w:before="0" w:after="0" w:line="360" w:lineRule="auto"/>
        <w:ind w:firstLine="632" w:firstLineChars="200"/>
        <w:rPr>
          <w:rFonts w:ascii="黑体" w:hAnsi="黑体"/>
          <w:b w:val="0"/>
          <w:bCs/>
          <w:szCs w:val="32"/>
        </w:rPr>
      </w:pPr>
      <w:bookmarkStart w:id="999" w:name="_Toc12506_WPSOffice_Level2"/>
      <w:bookmarkStart w:id="1000" w:name="_Toc26954_WPSOffice_Level2"/>
      <w:bookmarkStart w:id="1001" w:name="_Toc539_WPSOffice_Level2"/>
      <w:bookmarkStart w:id="1002" w:name="_Toc23453_WPSOffice_Level2"/>
      <w:bookmarkStart w:id="1003" w:name="_Toc7625_WPSOffice_Level2"/>
      <w:bookmarkStart w:id="1004" w:name="_Toc2799_WPSOffice_Level2"/>
      <w:bookmarkStart w:id="1005" w:name="_Toc17366_WPSOffice_Level2"/>
      <w:r>
        <w:rPr>
          <w:rFonts w:hint="eastAsia" w:ascii="黑体" w:hAnsi="黑体"/>
          <w:b w:val="0"/>
          <w:bCs/>
          <w:szCs w:val="32"/>
        </w:rPr>
        <w:t>9.3资金管理</w:t>
      </w:r>
      <w:bookmarkEnd w:id="999"/>
      <w:bookmarkEnd w:id="1000"/>
      <w:bookmarkEnd w:id="1001"/>
      <w:bookmarkEnd w:id="1002"/>
      <w:bookmarkEnd w:id="1003"/>
      <w:bookmarkEnd w:id="1004"/>
      <w:bookmarkEnd w:id="1005"/>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分类项目所用资金为国有资金，项目建设严格按照项目资金的实施意见、管理办法和要求建立健全财务管理制度，对建设资金实行专户储存，专款专用，并按进度进行资金拨付，加强对资金使用的监督检查，项目完工后委托审计部门对项目资金使用情况进行全面审计，用好项目建设资金。</w:t>
      </w:r>
    </w:p>
    <w:p>
      <w:pPr>
        <w:pStyle w:val="4"/>
        <w:spacing w:before="0" w:after="0" w:line="360" w:lineRule="auto"/>
        <w:ind w:firstLine="632" w:firstLineChars="200"/>
        <w:rPr>
          <w:rFonts w:ascii="黑体" w:hAnsi="黑体"/>
          <w:b w:val="0"/>
          <w:bCs/>
          <w:szCs w:val="32"/>
        </w:rPr>
      </w:pPr>
      <w:bookmarkStart w:id="1006" w:name="_Toc11650_WPSOffice_Level2"/>
      <w:bookmarkStart w:id="1007" w:name="_Toc32721_WPSOffice_Level2"/>
      <w:bookmarkStart w:id="1008" w:name="_Toc7656_WPSOffice_Level2"/>
      <w:bookmarkStart w:id="1009" w:name="_Toc32465_WPSOffice_Level2"/>
      <w:bookmarkStart w:id="1010" w:name="_Toc23191_WPSOffice_Level2"/>
      <w:r>
        <w:rPr>
          <w:rFonts w:hint="eastAsia" w:ascii="黑体" w:hAnsi="黑体"/>
          <w:b w:val="0"/>
          <w:bCs/>
          <w:szCs w:val="32"/>
        </w:rPr>
        <w:t>9.4劳动定员和人员培训</w:t>
      </w:r>
      <w:bookmarkEnd w:id="1006"/>
      <w:bookmarkEnd w:id="1007"/>
      <w:bookmarkEnd w:id="1008"/>
      <w:bookmarkEnd w:id="1009"/>
      <w:bookmarkEnd w:id="101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本项目投入使用后按照国家劳动政策和项目性质，作息时间按国家有关规定执行。</w:t>
      </w:r>
    </w:p>
    <w:p>
      <w:pPr>
        <w:spacing w:line="578" w:lineRule="exact"/>
        <w:ind w:firstLine="632" w:firstLineChars="200"/>
        <w:rPr>
          <w:rFonts w:ascii="仿宋_GB2312" w:hAnsi="仿宋_GB2312" w:eastAsia="仿宋_GB2312" w:cs="仿宋_GB2312"/>
          <w:sz w:val="32"/>
          <w:szCs w:val="32"/>
        </w:rPr>
      </w:pPr>
      <w:bookmarkStart w:id="1011" w:name="_Toc15267_WPSOffice_Level3"/>
      <w:bookmarkStart w:id="1012" w:name="_Toc27062_WPSOffice_Level3"/>
      <w:bookmarkStart w:id="1013" w:name="_Toc13413_WPSOffice_Level3"/>
      <w:bookmarkStart w:id="1014" w:name="_Toc7366_WPSOffice_Level3"/>
      <w:bookmarkStart w:id="1015" w:name="_Toc29638_WPSOffice_Level3"/>
      <w:bookmarkStart w:id="1016" w:name="_Toc29726_WPSOffice_Level3"/>
      <w:bookmarkStart w:id="1017" w:name="_Toc10633_WPSOffice_Level3"/>
      <w:bookmarkStart w:id="1018" w:name="_Toc28910_WPSOffice_Level3"/>
      <w:r>
        <w:rPr>
          <w:rFonts w:hint="eastAsia" w:ascii="仿宋_GB2312" w:hAnsi="仿宋_GB2312" w:eastAsia="仿宋_GB2312" w:cs="仿宋_GB2312"/>
          <w:sz w:val="32"/>
          <w:szCs w:val="32"/>
        </w:rPr>
        <w:t>（1）人力资源</w:t>
      </w:r>
      <w:bookmarkEnd w:id="1011"/>
      <w:bookmarkEnd w:id="1012"/>
      <w:bookmarkEnd w:id="1013"/>
      <w:bookmarkEnd w:id="1014"/>
      <w:bookmarkEnd w:id="1015"/>
      <w:bookmarkEnd w:id="1016"/>
      <w:bookmarkEnd w:id="1017"/>
      <w:bookmarkEnd w:id="1018"/>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项目建设期间管理人员主要为嘉峪关市环卫局组成的项目管理机构。</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项目建设完成投入运营，技术管理人员可通过引进有资质有能力的社会机构组成管理部，负责项目技术管理工作。其余人员通过社会招聘的方式解决。</w:t>
      </w:r>
    </w:p>
    <w:p>
      <w:pPr>
        <w:spacing w:line="578" w:lineRule="exact"/>
        <w:ind w:firstLine="632" w:firstLineChars="200"/>
        <w:rPr>
          <w:rFonts w:ascii="仿宋_GB2312" w:hAnsi="仿宋_GB2312" w:eastAsia="仿宋_GB2312" w:cs="仿宋_GB2312"/>
          <w:sz w:val="32"/>
          <w:szCs w:val="32"/>
        </w:rPr>
      </w:pPr>
      <w:bookmarkStart w:id="1019" w:name="_Toc23869_WPSOffice_Level3"/>
      <w:bookmarkStart w:id="1020" w:name="_Toc22935_WPSOffice_Level3"/>
      <w:bookmarkStart w:id="1021" w:name="_Toc9235_WPSOffice_Level3"/>
      <w:bookmarkStart w:id="1022" w:name="_Toc14351_WPSOffice_Level3"/>
      <w:bookmarkStart w:id="1023" w:name="_Toc11422_WPSOffice_Level3"/>
      <w:bookmarkStart w:id="1024" w:name="_Toc7476_WPSOffice_Level3"/>
      <w:bookmarkStart w:id="1025" w:name="_Toc31411_WPSOffice_Level3"/>
      <w:bookmarkStart w:id="1026" w:name="_Toc18574_WPSOffice_Level3"/>
      <w:r>
        <w:rPr>
          <w:rFonts w:hint="eastAsia" w:ascii="仿宋_GB2312" w:hAnsi="仿宋_GB2312" w:eastAsia="仿宋_GB2312" w:cs="仿宋_GB2312"/>
          <w:sz w:val="32"/>
          <w:szCs w:val="32"/>
        </w:rPr>
        <w:t>（2）人员培训</w:t>
      </w:r>
      <w:bookmarkEnd w:id="1019"/>
      <w:bookmarkEnd w:id="1020"/>
      <w:bookmarkEnd w:id="1021"/>
      <w:bookmarkEnd w:id="1022"/>
      <w:bookmarkEnd w:id="1023"/>
      <w:bookmarkEnd w:id="1024"/>
      <w:bookmarkEnd w:id="1025"/>
      <w:bookmarkEnd w:id="1026"/>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项目实施前，对各类管理、工作人员采取派出去、请进来的形式进行专业技术培训。提高其技术业务水平，以适应高应变、高质量、高水平的管理要求，以保证项目正常运行。在项目完成之后，根据实际发展，要有计划，有组织地分批对在岗的管理人员与服务人员进行培训，逐步形成人才优势，以不断地提高管理水平，保证工作健康有序发展。</w:t>
      </w:r>
    </w:p>
    <w:bookmarkEnd w:id="991"/>
    <w:p>
      <w:bookmarkStart w:id="1027" w:name="_Toc29881_WPSOffice_Level1"/>
      <w:bookmarkStart w:id="1028" w:name="_Toc5580_WPSOffice_Level1"/>
    </w:p>
    <w:p>
      <w:pPr>
        <w:pStyle w:val="21"/>
        <w:ind w:firstLine="529"/>
      </w:pPr>
    </w:p>
    <w:p/>
    <w:p>
      <w:pPr>
        <w:pStyle w:val="21"/>
        <w:ind w:firstLine="529"/>
      </w:pPr>
    </w:p>
    <w:p/>
    <w:p>
      <w:pPr>
        <w:pStyle w:val="21"/>
        <w:ind w:firstLine="529"/>
      </w:pPr>
    </w:p>
    <w:p/>
    <w:p>
      <w:pPr>
        <w:pStyle w:val="21"/>
        <w:ind w:firstLine="529"/>
      </w:pPr>
    </w:p>
    <w:p/>
    <w:p>
      <w:pPr>
        <w:pStyle w:val="3"/>
        <w:spacing w:beforeLines="100" w:afterLines="100" w:line="578" w:lineRule="exact"/>
        <w:jc w:val="center"/>
        <w:rPr>
          <w:rFonts w:ascii="宋体" w:hAnsi="宋体" w:eastAsia="宋体" w:cs="宋体"/>
          <w:sz w:val="36"/>
          <w:szCs w:val="36"/>
        </w:rPr>
      </w:pPr>
      <w:bookmarkStart w:id="1029" w:name="_Toc375_WPSOffice_Level1"/>
      <w:bookmarkStart w:id="1030" w:name="_Toc10170_WPSOffice_Level1"/>
      <w:r>
        <w:rPr>
          <w:rFonts w:hint="eastAsia" w:ascii="宋体" w:hAnsi="宋体" w:eastAsia="宋体" w:cs="宋体"/>
          <w:sz w:val="36"/>
          <w:szCs w:val="36"/>
        </w:rPr>
        <w:t>第十章  项目实施进度安排</w:t>
      </w:r>
      <w:bookmarkEnd w:id="759"/>
      <w:bookmarkEnd w:id="760"/>
      <w:bookmarkEnd w:id="761"/>
      <w:bookmarkEnd w:id="1027"/>
      <w:bookmarkEnd w:id="1028"/>
      <w:bookmarkEnd w:id="1029"/>
      <w:bookmarkEnd w:id="1030"/>
      <w:r>
        <w:rPr>
          <w:rFonts w:hint="eastAsia" w:ascii="宋体" w:hAnsi="宋体" w:eastAsia="宋体" w:cs="宋体"/>
          <w:sz w:val="36"/>
          <w:szCs w:val="36"/>
        </w:rPr>
        <w:t xml:space="preserve"> </w:t>
      </w:r>
    </w:p>
    <w:p>
      <w:pPr>
        <w:pStyle w:val="4"/>
        <w:spacing w:before="0" w:after="0" w:line="360" w:lineRule="auto"/>
        <w:ind w:firstLine="632" w:firstLineChars="200"/>
        <w:rPr>
          <w:rFonts w:ascii="黑体" w:hAnsi="黑体"/>
          <w:b w:val="0"/>
          <w:bCs/>
          <w:szCs w:val="32"/>
        </w:rPr>
      </w:pPr>
      <w:bookmarkStart w:id="1031" w:name="_Toc23873_WPSOffice_Level2"/>
      <w:bookmarkStart w:id="1032" w:name="_Toc8236_WPSOffice_Level2"/>
      <w:bookmarkStart w:id="1033" w:name="_Toc30436_WPSOffice_Level2"/>
      <w:bookmarkStart w:id="1034" w:name="_Toc10702_WPSOffice_Level2"/>
      <w:bookmarkStart w:id="1035" w:name="_Toc27681_WPSOffice_Level2"/>
      <w:bookmarkStart w:id="1036" w:name="_Toc3662_WPSOffice_Level2"/>
      <w:bookmarkStart w:id="1037" w:name="_Toc6846_WPSOffice_Level2"/>
      <w:r>
        <w:rPr>
          <w:rFonts w:hint="eastAsia" w:ascii="黑体" w:hAnsi="黑体"/>
          <w:b w:val="0"/>
          <w:bCs/>
          <w:szCs w:val="32"/>
        </w:rPr>
        <w:t>10.1 项目实施进度安排</w:t>
      </w:r>
      <w:bookmarkEnd w:id="1031"/>
      <w:bookmarkEnd w:id="1032"/>
      <w:bookmarkEnd w:id="1033"/>
      <w:bookmarkEnd w:id="1034"/>
      <w:bookmarkEnd w:id="1035"/>
      <w:bookmarkEnd w:id="1036"/>
      <w:bookmarkEnd w:id="1037"/>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根据嘉峪关市城市生活垃圾分类制度实施方案》（嘉政办发〔2018〕233号）的通知要求：</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到2019年底，各区生活垃圾分类质量达标小区占已分类小区的75%以上；生活垃圾回收利用率达到30%。</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到2020年底，城区范围内全部实行生活垃圾强制分类，基本建立垃圾分类相关规章制度，生活垃圾回收利用率达到35%以上，垃圾分类综合治理，全民参与的氛围基本形成。</w:t>
      </w:r>
    </w:p>
    <w:p>
      <w:pPr>
        <w:pStyle w:val="4"/>
        <w:spacing w:before="0" w:after="0" w:line="360" w:lineRule="auto"/>
        <w:ind w:firstLine="632" w:firstLineChars="200"/>
        <w:rPr>
          <w:rFonts w:ascii="黑体" w:hAnsi="黑体"/>
          <w:b w:val="0"/>
          <w:bCs/>
          <w:szCs w:val="32"/>
        </w:rPr>
      </w:pPr>
      <w:bookmarkStart w:id="1038" w:name="_Toc363_WPSOffice_Level2"/>
      <w:bookmarkStart w:id="1039" w:name="_Toc29878_WPSOffice_Level2"/>
      <w:bookmarkStart w:id="1040" w:name="_Toc27941_WPSOffice_Level2"/>
      <w:bookmarkStart w:id="1041" w:name="_Toc32035_WPSOffice_Level2"/>
      <w:bookmarkStart w:id="1042" w:name="_Toc32093_WPSOffice_Level2"/>
      <w:bookmarkStart w:id="1043" w:name="_Toc17253_WPSOffice_Level2"/>
      <w:bookmarkStart w:id="1044" w:name="_Toc2076_WPSOffice_Level2"/>
      <w:r>
        <w:rPr>
          <w:rFonts w:hint="eastAsia" w:ascii="黑体" w:hAnsi="黑体"/>
          <w:b w:val="0"/>
          <w:bCs/>
          <w:szCs w:val="32"/>
        </w:rPr>
        <w:t>10.2 项目实施进度表</w:t>
      </w:r>
      <w:bookmarkEnd w:id="1038"/>
      <w:bookmarkEnd w:id="1039"/>
      <w:bookmarkEnd w:id="1040"/>
      <w:bookmarkEnd w:id="1041"/>
      <w:bookmarkEnd w:id="1042"/>
      <w:bookmarkEnd w:id="1043"/>
      <w:bookmarkEnd w:id="1044"/>
    </w:p>
    <w:p>
      <w:pPr>
        <w:spacing w:line="578" w:lineRule="exact"/>
        <w:ind w:firstLine="632" w:firstLineChars="200"/>
        <w:rPr>
          <w:rFonts w:ascii="仿宋_GB2312" w:hAnsi="仿宋_GB2312" w:eastAsia="仿宋_GB2312" w:cs="仿宋_GB2312"/>
          <w:sz w:val="32"/>
          <w:szCs w:val="32"/>
        </w:rPr>
      </w:pPr>
      <w:bookmarkStart w:id="1045" w:name="_Toc261130686"/>
      <w:bookmarkStart w:id="1046" w:name="_Toc268675642"/>
      <w:r>
        <w:rPr>
          <w:rFonts w:hint="eastAsia" w:ascii="仿宋_GB2312" w:hAnsi="仿宋_GB2312" w:eastAsia="仿宋_GB2312" w:cs="仿宋_GB2312"/>
          <w:sz w:val="32"/>
          <w:szCs w:val="32"/>
        </w:rPr>
        <w:t>详见下表</w:t>
      </w:r>
      <w:bookmarkEnd w:id="1045"/>
      <w:bookmarkEnd w:id="1046"/>
      <w:r>
        <w:rPr>
          <w:rFonts w:hint="eastAsia" w:ascii="仿宋_GB2312" w:hAnsi="仿宋_GB2312" w:eastAsia="仿宋_GB2312" w:cs="仿宋_GB2312"/>
          <w:sz w:val="32"/>
          <w:szCs w:val="32"/>
        </w:rPr>
        <w:t>：</w:t>
      </w:r>
    </w:p>
    <w:p>
      <w:pPr>
        <w:spacing w:line="578" w:lineRule="exact"/>
        <w:ind w:firstLine="632" w:firstLineChars="200"/>
        <w:jc w:val="center"/>
        <w:rPr>
          <w:rFonts w:ascii="仿宋_GB2312" w:hAnsi="仿宋_GB2312" w:eastAsia="仿宋_GB2312" w:cs="仿宋_GB2312"/>
          <w:sz w:val="32"/>
          <w:szCs w:val="32"/>
        </w:rPr>
      </w:pPr>
      <w:bookmarkStart w:id="1047" w:name="_Toc26928_WPSOffice_Level2"/>
      <w:bookmarkStart w:id="1048" w:name="_Toc28633_WPSOffice_Level2"/>
      <w:bookmarkStart w:id="1049" w:name="_Toc17877_WPSOffice_Level2"/>
      <w:bookmarkStart w:id="1050" w:name="_Toc3690_WPSOffice_Level2"/>
      <w:bookmarkStart w:id="1051" w:name="_Toc15622_WPSOffice_Level2"/>
      <w:bookmarkStart w:id="1052" w:name="_Toc15190_WPSOffice_Level2"/>
      <w:bookmarkStart w:id="1053" w:name="_Toc10957_WPSOffice_Level2"/>
      <w:bookmarkStart w:id="1054" w:name="_Toc8017_WPSOffice_Level2"/>
      <w:bookmarkStart w:id="1055" w:name="_Toc17615_WPSOffice_Level2"/>
      <w:bookmarkStart w:id="1056" w:name="_Toc3268_WPSOffice_Level2"/>
      <w:r>
        <w:rPr>
          <w:rFonts w:hint="eastAsia" w:ascii="仿宋_GB2312" w:hAnsi="仿宋_GB2312" w:eastAsia="仿宋_GB2312" w:cs="仿宋_GB2312"/>
          <w:sz w:val="32"/>
          <w:szCs w:val="32"/>
        </w:rPr>
        <w:t>实施进度计划表</w:t>
      </w:r>
      <w:bookmarkEnd w:id="1047"/>
      <w:bookmarkEnd w:id="1048"/>
      <w:bookmarkEnd w:id="1049"/>
      <w:bookmarkEnd w:id="1050"/>
      <w:bookmarkEnd w:id="1051"/>
      <w:bookmarkEnd w:id="1052"/>
      <w:bookmarkEnd w:id="1053"/>
      <w:bookmarkEnd w:id="1054"/>
      <w:bookmarkEnd w:id="1055"/>
      <w:bookmarkEnd w:id="1056"/>
    </w:p>
    <w:tbl>
      <w:tblPr>
        <w:tblStyle w:val="16"/>
        <w:tblpPr w:leftFromText="182" w:rightFromText="182" w:vertAnchor="text" w:horzAnchor="page" w:tblpXSpec="center" w:tblpY="113"/>
        <w:tblOverlap w:val="never"/>
        <w:tblW w:w="7840" w:type="dxa"/>
        <w:tblInd w:w="236"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5" w:type="dxa"/>
          <w:left w:w="15" w:type="dxa"/>
          <w:bottom w:w="15" w:type="dxa"/>
          <w:right w:w="15" w:type="dxa"/>
        </w:tblCellMar>
      </w:tblPr>
      <w:tblGrid>
        <w:gridCol w:w="1146"/>
        <w:gridCol w:w="3971"/>
        <w:gridCol w:w="1362"/>
        <w:gridCol w:w="136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trHeight w:val="420" w:hRule="atLeast"/>
        </w:trPr>
        <w:tc>
          <w:tcPr>
            <w:tcW w:w="1146" w:type="dxa"/>
            <w:vAlign w:val="center"/>
          </w:tcPr>
          <w:p>
            <w:pPr>
              <w:widowControl/>
              <w:spacing w:line="600" w:lineRule="exact"/>
              <w:jc w:val="center"/>
              <w:rPr>
                <w:rFonts w:ascii="宋体" w:hAnsi="宋体" w:eastAsia="宋体" w:cs="宋体"/>
                <w:kern w:val="0"/>
                <w:szCs w:val="21"/>
              </w:rPr>
            </w:pPr>
            <w:r>
              <w:rPr>
                <w:rFonts w:hint="eastAsia" w:ascii="宋体" w:hAnsi="宋体" w:eastAsia="宋体" w:cs="宋体"/>
                <w:kern w:val="0"/>
                <w:szCs w:val="21"/>
              </w:rPr>
              <w:t>序号</w:t>
            </w:r>
          </w:p>
        </w:tc>
        <w:tc>
          <w:tcPr>
            <w:tcW w:w="3971" w:type="dxa"/>
            <w:vAlign w:val="center"/>
          </w:tcPr>
          <w:p>
            <w:pPr>
              <w:widowControl/>
              <w:spacing w:line="600" w:lineRule="exact"/>
              <w:jc w:val="center"/>
              <w:rPr>
                <w:rFonts w:ascii="宋体" w:hAnsi="宋体" w:eastAsia="宋体" w:cs="宋体"/>
                <w:kern w:val="0"/>
                <w:szCs w:val="21"/>
              </w:rPr>
            </w:pPr>
            <w:r>
              <w:rPr>
                <w:rFonts w:hint="eastAsia" w:ascii="宋体" w:hAnsi="宋体" w:eastAsia="宋体" w:cs="宋体"/>
                <w:kern w:val="0"/>
                <w:szCs w:val="21"/>
              </w:rPr>
              <w:t>年 度</w:t>
            </w:r>
          </w:p>
        </w:tc>
        <w:tc>
          <w:tcPr>
            <w:tcW w:w="1362" w:type="dxa"/>
            <w:tcBorders>
              <w:right w:val="single" w:color="auto" w:sz="4" w:space="0"/>
            </w:tcBorders>
            <w:tcMar>
              <w:top w:w="15" w:type="dxa"/>
              <w:left w:w="15" w:type="dxa"/>
              <w:bottom w:w="0" w:type="dxa"/>
              <w:right w:w="15" w:type="dxa"/>
            </w:tcMar>
            <w:vAlign w:val="center"/>
          </w:tcPr>
          <w:p>
            <w:pPr>
              <w:widowControl/>
              <w:spacing w:line="600" w:lineRule="exact"/>
              <w:jc w:val="center"/>
              <w:rPr>
                <w:rFonts w:ascii="宋体" w:hAnsi="宋体" w:eastAsia="宋体" w:cs="宋体"/>
                <w:kern w:val="0"/>
                <w:szCs w:val="21"/>
              </w:rPr>
            </w:pPr>
            <w:r>
              <w:rPr>
                <w:rFonts w:hint="eastAsia" w:ascii="宋体" w:hAnsi="宋体" w:eastAsia="宋体" w:cs="宋体"/>
                <w:kern w:val="0"/>
                <w:szCs w:val="21"/>
              </w:rPr>
              <w:t>2019</w:t>
            </w:r>
          </w:p>
        </w:tc>
        <w:tc>
          <w:tcPr>
            <w:tcW w:w="1361" w:type="dxa"/>
            <w:tcBorders>
              <w:left w:val="single" w:color="auto" w:sz="4" w:space="0"/>
              <w:right w:val="single" w:color="auto" w:sz="4" w:space="0"/>
            </w:tcBorders>
            <w:tcMar>
              <w:top w:w="15" w:type="dxa"/>
              <w:left w:w="15" w:type="dxa"/>
              <w:bottom w:w="0" w:type="dxa"/>
              <w:right w:w="15" w:type="dxa"/>
            </w:tcMar>
            <w:vAlign w:val="center"/>
          </w:tcPr>
          <w:p>
            <w:pPr>
              <w:widowControl/>
              <w:spacing w:line="600" w:lineRule="exact"/>
              <w:jc w:val="center"/>
              <w:rPr>
                <w:rFonts w:ascii="宋体" w:hAnsi="宋体" w:eastAsia="宋体" w:cs="宋体"/>
                <w:kern w:val="0"/>
                <w:szCs w:val="21"/>
              </w:rPr>
            </w:pPr>
            <w:r>
              <w:rPr>
                <w:rFonts w:hint="eastAsia" w:ascii="宋体" w:hAnsi="宋体" w:eastAsia="宋体" w:cs="宋体"/>
                <w:kern w:val="0"/>
                <w:szCs w:val="21"/>
              </w:rPr>
              <w:t>2020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trHeight w:val="433" w:hRule="atLeast"/>
        </w:trPr>
        <w:tc>
          <w:tcPr>
            <w:tcW w:w="1146" w:type="dxa"/>
            <w:vAlign w:val="center"/>
          </w:tcPr>
          <w:p>
            <w:pPr>
              <w:widowControl/>
              <w:spacing w:line="600" w:lineRule="exact"/>
              <w:jc w:val="center"/>
              <w:rPr>
                <w:rFonts w:ascii="宋体" w:hAnsi="宋体" w:eastAsia="宋体" w:cs="宋体"/>
                <w:kern w:val="0"/>
                <w:szCs w:val="21"/>
              </w:rPr>
            </w:pPr>
            <w:r>
              <w:rPr>
                <w:rFonts w:hint="eastAsia" w:ascii="宋体" w:hAnsi="宋体" w:eastAsia="宋体" w:cs="宋体"/>
                <w:kern w:val="0"/>
                <w:szCs w:val="21"/>
              </w:rPr>
              <w:t>一</w:t>
            </w:r>
          </w:p>
        </w:tc>
        <w:tc>
          <w:tcPr>
            <w:tcW w:w="3971" w:type="dxa"/>
            <w:tcMar>
              <w:top w:w="15" w:type="dxa"/>
              <w:left w:w="15" w:type="dxa"/>
              <w:bottom w:w="0" w:type="dxa"/>
              <w:right w:w="15" w:type="dxa"/>
            </w:tcMar>
            <w:vAlign w:val="center"/>
          </w:tcPr>
          <w:p>
            <w:pPr>
              <w:widowControl/>
              <w:spacing w:line="600" w:lineRule="exact"/>
              <w:rPr>
                <w:rFonts w:ascii="宋体" w:hAnsi="宋体" w:eastAsia="宋体" w:cs="宋体"/>
                <w:kern w:val="0"/>
                <w:szCs w:val="21"/>
              </w:rPr>
            </w:pPr>
            <w:r>
              <w:rPr>
                <w:rFonts w:hint="eastAsia" w:ascii="宋体" w:hAnsi="宋体" w:eastAsia="宋体" w:cs="宋体"/>
                <w:kern w:val="0"/>
                <w:szCs w:val="21"/>
              </w:rPr>
              <w:t>项目前期准备</w:t>
            </w:r>
          </w:p>
        </w:tc>
        <w:tc>
          <w:tcPr>
            <w:tcW w:w="1362" w:type="dxa"/>
            <w:tcBorders>
              <w:right w:val="single" w:color="auto" w:sz="4" w:space="0"/>
            </w:tcBorders>
            <w:tcMar>
              <w:top w:w="15" w:type="dxa"/>
              <w:left w:w="15" w:type="dxa"/>
              <w:bottom w:w="0" w:type="dxa"/>
              <w:right w:w="15" w:type="dxa"/>
            </w:tcMar>
            <w:vAlign w:val="center"/>
          </w:tcPr>
          <w:p>
            <w:pPr>
              <w:widowControl/>
              <w:spacing w:line="600" w:lineRule="exact"/>
              <w:rPr>
                <w:rFonts w:ascii="宋体" w:hAnsi="宋体" w:eastAsia="宋体" w:cs="宋体"/>
                <w:kern w:val="0"/>
                <w:szCs w:val="21"/>
              </w:rPr>
            </w:pPr>
            <w:r>
              <w:rPr>
                <w:rFonts w:hint="eastAsia" w:ascii="宋体" w:hAnsi="宋体" w:eastAsia="宋体" w:cs="宋体"/>
                <w:kern w:val="0"/>
                <w:szCs w:val="21"/>
              </w:rPr>
              <w:t>━</w:t>
            </w:r>
          </w:p>
        </w:tc>
        <w:tc>
          <w:tcPr>
            <w:tcW w:w="1361" w:type="dxa"/>
            <w:tcBorders>
              <w:left w:val="single" w:color="auto" w:sz="4" w:space="0"/>
              <w:right w:val="single" w:color="auto" w:sz="4" w:space="0"/>
            </w:tcBorders>
            <w:tcMar>
              <w:top w:w="15" w:type="dxa"/>
              <w:left w:w="15" w:type="dxa"/>
              <w:bottom w:w="0" w:type="dxa"/>
              <w:right w:w="15" w:type="dxa"/>
            </w:tcMar>
            <w:vAlign w:val="center"/>
          </w:tcPr>
          <w:p>
            <w:pPr>
              <w:widowControl/>
              <w:spacing w:line="600" w:lineRule="exact"/>
              <w:rPr>
                <w:rFonts w:ascii="宋体" w:hAnsi="宋体" w:eastAsia="宋体" w:cs="宋体"/>
                <w:kern w:val="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trHeight w:val="419" w:hRule="atLeast"/>
        </w:trPr>
        <w:tc>
          <w:tcPr>
            <w:tcW w:w="1146" w:type="dxa"/>
            <w:vAlign w:val="center"/>
          </w:tcPr>
          <w:p>
            <w:pPr>
              <w:widowControl/>
              <w:spacing w:line="600" w:lineRule="exact"/>
              <w:jc w:val="center"/>
              <w:rPr>
                <w:rFonts w:ascii="宋体" w:hAnsi="宋体" w:eastAsia="宋体" w:cs="宋体"/>
                <w:kern w:val="0"/>
                <w:szCs w:val="21"/>
              </w:rPr>
            </w:pPr>
            <w:r>
              <w:rPr>
                <w:rFonts w:hint="eastAsia" w:ascii="宋体" w:hAnsi="宋体" w:eastAsia="宋体" w:cs="宋体"/>
                <w:kern w:val="0"/>
                <w:szCs w:val="21"/>
              </w:rPr>
              <w:t>1</w:t>
            </w:r>
          </w:p>
        </w:tc>
        <w:tc>
          <w:tcPr>
            <w:tcW w:w="3971" w:type="dxa"/>
            <w:vAlign w:val="center"/>
          </w:tcPr>
          <w:p>
            <w:pPr>
              <w:widowControl/>
              <w:spacing w:line="600" w:lineRule="exact"/>
              <w:rPr>
                <w:rFonts w:ascii="宋体" w:hAnsi="宋体" w:eastAsia="宋体" w:cs="宋体"/>
                <w:kern w:val="0"/>
                <w:szCs w:val="21"/>
              </w:rPr>
            </w:pPr>
            <w:r>
              <w:rPr>
                <w:rFonts w:hint="eastAsia" w:ascii="宋体" w:hAnsi="宋体" w:eastAsia="宋体" w:cs="宋体"/>
                <w:kern w:val="0"/>
                <w:szCs w:val="21"/>
              </w:rPr>
              <w:t>前期工作</w:t>
            </w:r>
          </w:p>
        </w:tc>
        <w:tc>
          <w:tcPr>
            <w:tcW w:w="1362" w:type="dxa"/>
            <w:tcBorders>
              <w:right w:val="single" w:color="auto" w:sz="4" w:space="0"/>
            </w:tcBorders>
            <w:tcMar>
              <w:top w:w="15" w:type="dxa"/>
              <w:left w:w="15" w:type="dxa"/>
              <w:bottom w:w="0" w:type="dxa"/>
              <w:right w:w="15" w:type="dxa"/>
            </w:tcMar>
            <w:vAlign w:val="center"/>
          </w:tcPr>
          <w:p>
            <w:pPr>
              <w:widowControl/>
              <w:spacing w:line="600" w:lineRule="exact"/>
              <w:jc w:val="left"/>
              <w:rPr>
                <w:rFonts w:ascii="宋体" w:hAnsi="宋体" w:eastAsia="宋体" w:cs="宋体"/>
                <w:kern w:val="0"/>
                <w:szCs w:val="21"/>
              </w:rPr>
            </w:pPr>
            <w:r>
              <w:rPr>
                <w:rFonts w:hint="eastAsia" w:ascii="宋体" w:hAnsi="宋体" w:eastAsia="宋体" w:cs="宋体"/>
                <w:kern w:val="0"/>
                <w:szCs w:val="21"/>
              </w:rPr>
              <w:t>━</w:t>
            </w:r>
          </w:p>
        </w:tc>
        <w:tc>
          <w:tcPr>
            <w:tcW w:w="1361" w:type="dxa"/>
            <w:tcBorders>
              <w:left w:val="single" w:color="auto" w:sz="4" w:space="0"/>
              <w:right w:val="single" w:color="auto" w:sz="4" w:space="0"/>
            </w:tcBorders>
            <w:tcMar>
              <w:top w:w="15" w:type="dxa"/>
              <w:left w:w="15" w:type="dxa"/>
              <w:bottom w:w="0" w:type="dxa"/>
              <w:right w:w="15" w:type="dxa"/>
            </w:tcMar>
            <w:vAlign w:val="center"/>
          </w:tcPr>
          <w:p>
            <w:pPr>
              <w:spacing w:line="600" w:lineRule="exact"/>
              <w:rPr>
                <w:rFonts w:ascii="宋体" w:hAnsi="宋体" w:eastAsia="宋体" w:cs="宋体"/>
                <w:kern w:val="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trHeight w:val="488" w:hRule="atLeast"/>
        </w:trPr>
        <w:tc>
          <w:tcPr>
            <w:tcW w:w="1146" w:type="dxa"/>
            <w:vAlign w:val="center"/>
          </w:tcPr>
          <w:p>
            <w:pPr>
              <w:widowControl/>
              <w:spacing w:line="600" w:lineRule="exact"/>
              <w:jc w:val="center"/>
              <w:rPr>
                <w:rFonts w:ascii="宋体" w:hAnsi="宋体" w:eastAsia="宋体" w:cs="宋体"/>
                <w:kern w:val="0"/>
                <w:szCs w:val="21"/>
              </w:rPr>
            </w:pPr>
            <w:r>
              <w:rPr>
                <w:rFonts w:hint="eastAsia" w:ascii="宋体" w:hAnsi="宋体" w:eastAsia="宋体" w:cs="宋体"/>
                <w:kern w:val="0"/>
                <w:szCs w:val="21"/>
              </w:rPr>
              <w:t>2</w:t>
            </w:r>
          </w:p>
        </w:tc>
        <w:tc>
          <w:tcPr>
            <w:tcW w:w="3971" w:type="dxa"/>
            <w:tcMar>
              <w:top w:w="15" w:type="dxa"/>
              <w:left w:w="15" w:type="dxa"/>
              <w:bottom w:w="0" w:type="dxa"/>
              <w:right w:w="15" w:type="dxa"/>
            </w:tcMar>
            <w:vAlign w:val="center"/>
          </w:tcPr>
          <w:p>
            <w:pPr>
              <w:widowControl/>
              <w:spacing w:line="600" w:lineRule="exact"/>
              <w:rPr>
                <w:rFonts w:ascii="宋体" w:hAnsi="宋体" w:eastAsia="宋体" w:cs="宋体"/>
                <w:kern w:val="0"/>
                <w:szCs w:val="21"/>
              </w:rPr>
            </w:pPr>
            <w:r>
              <w:rPr>
                <w:rFonts w:hint="eastAsia" w:ascii="宋体" w:hAnsi="宋体" w:eastAsia="宋体" w:cs="宋体"/>
                <w:kern w:val="0"/>
                <w:szCs w:val="21"/>
              </w:rPr>
              <w:t>设 计</w:t>
            </w:r>
          </w:p>
        </w:tc>
        <w:tc>
          <w:tcPr>
            <w:tcW w:w="1362" w:type="dxa"/>
            <w:tcBorders>
              <w:right w:val="single" w:color="auto" w:sz="4" w:space="0"/>
            </w:tcBorders>
            <w:tcMar>
              <w:top w:w="15" w:type="dxa"/>
              <w:left w:w="15" w:type="dxa"/>
              <w:bottom w:w="0" w:type="dxa"/>
              <w:right w:w="15" w:type="dxa"/>
            </w:tcMar>
            <w:vAlign w:val="center"/>
          </w:tcPr>
          <w:p>
            <w:pPr>
              <w:widowControl/>
              <w:spacing w:line="600" w:lineRule="exact"/>
              <w:jc w:val="left"/>
              <w:rPr>
                <w:rFonts w:ascii="宋体" w:hAnsi="宋体" w:eastAsia="宋体" w:cs="宋体"/>
                <w:kern w:val="0"/>
                <w:szCs w:val="21"/>
              </w:rPr>
            </w:pPr>
            <w:r>
              <w:rPr>
                <w:rFonts w:hint="eastAsia" w:ascii="宋体" w:hAnsi="宋体" w:eastAsia="宋体" w:cs="宋体"/>
                <w:kern w:val="0"/>
                <w:szCs w:val="21"/>
              </w:rPr>
              <w:t>━</w:t>
            </w:r>
          </w:p>
        </w:tc>
        <w:tc>
          <w:tcPr>
            <w:tcW w:w="1361" w:type="dxa"/>
            <w:tcBorders>
              <w:left w:val="single" w:color="auto" w:sz="4" w:space="0"/>
              <w:right w:val="single" w:color="auto" w:sz="4" w:space="0"/>
            </w:tcBorders>
            <w:tcMar>
              <w:top w:w="15" w:type="dxa"/>
              <w:left w:w="15" w:type="dxa"/>
              <w:bottom w:w="0" w:type="dxa"/>
              <w:right w:w="15" w:type="dxa"/>
            </w:tcMar>
            <w:vAlign w:val="center"/>
          </w:tcPr>
          <w:p>
            <w:pPr>
              <w:widowControl/>
              <w:spacing w:line="600" w:lineRule="exact"/>
              <w:jc w:val="right"/>
              <w:rPr>
                <w:rFonts w:ascii="宋体" w:hAnsi="宋体" w:eastAsia="宋体" w:cs="宋体"/>
                <w:kern w:val="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trHeight w:val="570" w:hRule="atLeast"/>
        </w:trPr>
        <w:tc>
          <w:tcPr>
            <w:tcW w:w="1146" w:type="dxa"/>
            <w:vAlign w:val="center"/>
          </w:tcPr>
          <w:p>
            <w:pPr>
              <w:spacing w:line="600" w:lineRule="exact"/>
              <w:jc w:val="center"/>
              <w:rPr>
                <w:rFonts w:ascii="宋体" w:hAnsi="宋体" w:eastAsia="宋体" w:cs="宋体"/>
                <w:kern w:val="0"/>
                <w:szCs w:val="21"/>
              </w:rPr>
            </w:pPr>
            <w:r>
              <w:rPr>
                <w:rFonts w:hint="eastAsia" w:ascii="宋体" w:hAnsi="宋体" w:eastAsia="宋体" w:cs="宋体"/>
                <w:kern w:val="0"/>
                <w:szCs w:val="21"/>
              </w:rPr>
              <w:t>3</w:t>
            </w:r>
          </w:p>
        </w:tc>
        <w:tc>
          <w:tcPr>
            <w:tcW w:w="3971" w:type="dxa"/>
            <w:tcMar>
              <w:top w:w="15" w:type="dxa"/>
              <w:left w:w="15" w:type="dxa"/>
              <w:bottom w:w="0" w:type="dxa"/>
              <w:right w:w="15" w:type="dxa"/>
            </w:tcMar>
            <w:vAlign w:val="center"/>
          </w:tcPr>
          <w:p>
            <w:pPr>
              <w:spacing w:line="600" w:lineRule="exact"/>
              <w:rPr>
                <w:rFonts w:ascii="宋体" w:hAnsi="宋体" w:eastAsia="宋体" w:cs="宋体"/>
                <w:kern w:val="0"/>
                <w:szCs w:val="21"/>
              </w:rPr>
            </w:pPr>
            <w:r>
              <w:rPr>
                <w:rFonts w:hint="eastAsia" w:ascii="宋体" w:hAnsi="宋体" w:eastAsia="宋体" w:cs="宋体"/>
                <w:kern w:val="0"/>
                <w:szCs w:val="21"/>
              </w:rPr>
              <w:t>工程招标</w:t>
            </w:r>
          </w:p>
        </w:tc>
        <w:tc>
          <w:tcPr>
            <w:tcW w:w="1362" w:type="dxa"/>
            <w:tcBorders>
              <w:right w:val="single" w:color="auto" w:sz="4" w:space="0"/>
            </w:tcBorders>
            <w:tcMar>
              <w:top w:w="15" w:type="dxa"/>
              <w:left w:w="15" w:type="dxa"/>
              <w:bottom w:w="0" w:type="dxa"/>
              <w:right w:w="15" w:type="dxa"/>
            </w:tcMar>
            <w:vAlign w:val="center"/>
          </w:tcPr>
          <w:p>
            <w:pPr>
              <w:widowControl/>
              <w:spacing w:line="600" w:lineRule="exact"/>
              <w:ind w:firstLine="412" w:firstLineChars="200"/>
              <w:rPr>
                <w:rFonts w:ascii="宋体" w:hAnsi="宋体" w:eastAsia="宋体" w:cs="宋体"/>
                <w:kern w:val="0"/>
                <w:szCs w:val="21"/>
              </w:rPr>
            </w:pPr>
            <w:r>
              <w:rPr>
                <w:rFonts w:hint="eastAsia" w:ascii="宋体" w:hAnsi="宋体" w:eastAsia="宋体" w:cs="宋体"/>
                <w:kern w:val="0"/>
                <w:szCs w:val="21"/>
              </w:rPr>
              <w:t>━━</w:t>
            </w:r>
          </w:p>
        </w:tc>
        <w:tc>
          <w:tcPr>
            <w:tcW w:w="1361" w:type="dxa"/>
            <w:tcBorders>
              <w:left w:val="single" w:color="auto" w:sz="4" w:space="0"/>
              <w:right w:val="single" w:color="auto" w:sz="4" w:space="0"/>
            </w:tcBorders>
            <w:tcMar>
              <w:top w:w="15" w:type="dxa"/>
              <w:left w:w="15" w:type="dxa"/>
              <w:bottom w:w="0" w:type="dxa"/>
              <w:right w:w="15" w:type="dxa"/>
            </w:tcMar>
            <w:vAlign w:val="center"/>
          </w:tcPr>
          <w:p>
            <w:pPr>
              <w:widowControl/>
              <w:spacing w:line="600" w:lineRule="exact"/>
              <w:jc w:val="right"/>
              <w:rPr>
                <w:rFonts w:ascii="宋体" w:hAnsi="宋体" w:eastAsia="宋体" w:cs="宋体"/>
                <w:kern w:val="0"/>
                <w:szCs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5" w:type="dxa"/>
            <w:left w:w="15" w:type="dxa"/>
            <w:bottom w:w="15" w:type="dxa"/>
            <w:right w:w="15" w:type="dxa"/>
          </w:tblCellMar>
        </w:tblPrEx>
        <w:trPr>
          <w:trHeight w:val="651" w:hRule="atLeast"/>
        </w:trPr>
        <w:tc>
          <w:tcPr>
            <w:tcW w:w="1146" w:type="dxa"/>
            <w:vAlign w:val="center"/>
          </w:tcPr>
          <w:p>
            <w:pPr>
              <w:widowControl/>
              <w:spacing w:line="600" w:lineRule="exact"/>
              <w:jc w:val="center"/>
              <w:rPr>
                <w:rFonts w:ascii="宋体" w:hAnsi="宋体" w:eastAsia="宋体" w:cs="宋体"/>
                <w:kern w:val="0"/>
                <w:szCs w:val="21"/>
              </w:rPr>
            </w:pPr>
            <w:r>
              <w:rPr>
                <w:rFonts w:hint="eastAsia" w:ascii="宋体" w:hAnsi="宋体" w:eastAsia="宋体" w:cs="宋体"/>
                <w:kern w:val="0"/>
                <w:szCs w:val="21"/>
              </w:rPr>
              <w:t>二</w:t>
            </w:r>
          </w:p>
        </w:tc>
        <w:tc>
          <w:tcPr>
            <w:tcW w:w="3971" w:type="dxa"/>
            <w:tcMar>
              <w:top w:w="15" w:type="dxa"/>
              <w:left w:w="15" w:type="dxa"/>
              <w:bottom w:w="0" w:type="dxa"/>
              <w:right w:w="15" w:type="dxa"/>
            </w:tcMar>
            <w:vAlign w:val="center"/>
          </w:tcPr>
          <w:p>
            <w:pPr>
              <w:widowControl/>
              <w:spacing w:line="600" w:lineRule="exact"/>
              <w:rPr>
                <w:rFonts w:ascii="宋体" w:hAnsi="宋体" w:eastAsia="宋体" w:cs="宋体"/>
                <w:kern w:val="0"/>
                <w:szCs w:val="21"/>
              </w:rPr>
            </w:pPr>
            <w:r>
              <w:rPr>
                <w:rFonts w:hint="eastAsia" w:ascii="宋体" w:hAnsi="宋体" w:eastAsia="宋体" w:cs="宋体"/>
                <w:kern w:val="0"/>
                <w:szCs w:val="21"/>
              </w:rPr>
              <w:t>实施阶段</w:t>
            </w:r>
          </w:p>
        </w:tc>
        <w:tc>
          <w:tcPr>
            <w:tcW w:w="1362" w:type="dxa"/>
            <w:tcBorders>
              <w:right w:val="single" w:color="auto" w:sz="4" w:space="0"/>
            </w:tcBorders>
            <w:tcMar>
              <w:top w:w="15" w:type="dxa"/>
              <w:left w:w="15" w:type="dxa"/>
              <w:bottom w:w="0" w:type="dxa"/>
              <w:right w:w="15" w:type="dxa"/>
            </w:tcMar>
            <w:vAlign w:val="center"/>
          </w:tcPr>
          <w:p>
            <w:pPr>
              <w:widowControl/>
              <w:spacing w:line="600" w:lineRule="exact"/>
              <w:jc w:val="right"/>
              <w:rPr>
                <w:rFonts w:ascii="宋体" w:hAnsi="宋体" w:eastAsia="宋体" w:cs="宋体"/>
                <w:kern w:val="0"/>
                <w:szCs w:val="21"/>
              </w:rPr>
            </w:pPr>
            <w:r>
              <w:rPr>
                <w:rFonts w:hint="eastAsia" w:ascii="宋体" w:hAnsi="宋体" w:eastAsia="宋体" w:cs="宋体"/>
                <w:kern w:val="0"/>
                <w:szCs w:val="21"/>
              </w:rPr>
              <w:t>━━</w:t>
            </w:r>
          </w:p>
        </w:tc>
        <w:tc>
          <w:tcPr>
            <w:tcW w:w="1361" w:type="dxa"/>
            <w:tcBorders>
              <w:left w:val="single" w:color="auto" w:sz="4" w:space="0"/>
              <w:right w:val="single" w:color="auto" w:sz="4" w:space="0"/>
            </w:tcBorders>
            <w:tcMar>
              <w:top w:w="15" w:type="dxa"/>
              <w:left w:w="15" w:type="dxa"/>
              <w:bottom w:w="0" w:type="dxa"/>
              <w:right w:w="15" w:type="dxa"/>
            </w:tcMar>
            <w:vAlign w:val="center"/>
          </w:tcPr>
          <w:p>
            <w:pPr>
              <w:widowControl/>
              <w:spacing w:line="600" w:lineRule="exact"/>
              <w:jc w:val="center"/>
              <w:rPr>
                <w:rFonts w:ascii="宋体" w:hAnsi="宋体" w:eastAsia="宋体" w:cs="宋体"/>
                <w:kern w:val="0"/>
                <w:szCs w:val="21"/>
              </w:rPr>
            </w:pPr>
            <w:r>
              <w:rPr>
                <w:rFonts w:hint="eastAsia" w:ascii="宋体" w:hAnsi="宋体" w:eastAsia="宋体" w:cs="宋体"/>
                <w:kern w:val="0"/>
                <w:szCs w:val="21"/>
              </w:rPr>
              <w:t>━━━━</w:t>
            </w:r>
          </w:p>
        </w:tc>
      </w:tr>
    </w:tbl>
    <w:p>
      <w:pPr>
        <w:pStyle w:val="3"/>
        <w:spacing w:beforeLines="100" w:afterLines="100" w:line="578" w:lineRule="exact"/>
        <w:jc w:val="center"/>
        <w:rPr>
          <w:rFonts w:ascii="宋体" w:hAnsi="宋体" w:eastAsia="宋体" w:cs="宋体"/>
          <w:sz w:val="36"/>
          <w:szCs w:val="36"/>
        </w:rPr>
      </w:pPr>
      <w:bookmarkStart w:id="1057" w:name="_Toc8127_WPSOffice_Level1"/>
      <w:bookmarkStart w:id="1058" w:name="_Toc10702_WPSOffice_Level1"/>
      <w:bookmarkStart w:id="1059" w:name="_Toc22603_WPSOffice_Level1"/>
      <w:bookmarkStart w:id="1060" w:name="_Toc9953_WPSOffice_Level1"/>
      <w:bookmarkStart w:id="1061" w:name="_Toc25606_WPSOffice_Level1"/>
      <w:bookmarkStart w:id="1062" w:name="_Toc9090_WPSOffice_Level1"/>
      <w:bookmarkStart w:id="1063" w:name="_Toc31087_WPSOffice_Level1"/>
      <w:r>
        <w:rPr>
          <w:rFonts w:hint="eastAsia" w:ascii="宋体" w:hAnsi="宋体" w:eastAsia="宋体" w:cs="宋体"/>
          <w:sz w:val="36"/>
          <w:szCs w:val="36"/>
        </w:rPr>
        <w:t>第十一章  项目招投标</w:t>
      </w:r>
      <w:bookmarkEnd w:id="1057"/>
      <w:bookmarkEnd w:id="1058"/>
      <w:bookmarkEnd w:id="1059"/>
      <w:bookmarkEnd w:id="1060"/>
      <w:bookmarkEnd w:id="1061"/>
      <w:bookmarkEnd w:id="1062"/>
      <w:bookmarkEnd w:id="1063"/>
      <w:r>
        <w:rPr>
          <w:rFonts w:hint="eastAsia" w:ascii="宋体" w:hAnsi="宋体" w:eastAsia="宋体" w:cs="宋体"/>
          <w:sz w:val="36"/>
          <w:szCs w:val="36"/>
        </w:rPr>
        <w:t xml:space="preserve"> </w:t>
      </w:r>
    </w:p>
    <w:p>
      <w:pPr>
        <w:pStyle w:val="4"/>
        <w:spacing w:before="0" w:after="0" w:line="360" w:lineRule="auto"/>
        <w:ind w:firstLine="632" w:firstLineChars="200"/>
        <w:rPr>
          <w:rFonts w:ascii="黑体" w:hAnsi="黑体"/>
          <w:b w:val="0"/>
          <w:bCs/>
          <w:szCs w:val="32"/>
        </w:rPr>
      </w:pPr>
      <w:bookmarkStart w:id="1064" w:name="_Toc25140_WPSOffice_Level2"/>
      <w:bookmarkStart w:id="1065" w:name="_Toc2717_WPSOffice_Level2"/>
      <w:bookmarkStart w:id="1066" w:name="_Toc30952_WPSOffice_Level2"/>
      <w:bookmarkStart w:id="1067" w:name="_Toc4611_WPSOffice_Level2"/>
      <w:bookmarkStart w:id="1068" w:name="_Toc13234_WPSOffice_Level2"/>
      <w:bookmarkStart w:id="1069" w:name="_Toc28728_WPSOffice_Level2"/>
      <w:bookmarkStart w:id="1070" w:name="_Toc28587_WPSOffice_Level2"/>
      <w:r>
        <w:rPr>
          <w:rFonts w:hint="eastAsia" w:ascii="黑体" w:hAnsi="黑体"/>
          <w:b w:val="0"/>
          <w:bCs/>
          <w:szCs w:val="32"/>
        </w:rPr>
        <w:t>11.1 项目招标目的</w:t>
      </w:r>
      <w:bookmarkEnd w:id="1064"/>
      <w:bookmarkEnd w:id="1065"/>
      <w:bookmarkEnd w:id="1066"/>
      <w:bookmarkEnd w:id="1067"/>
      <w:bookmarkEnd w:id="1068"/>
      <w:bookmarkEnd w:id="1069"/>
      <w:bookmarkEnd w:id="107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招标是我国建筑市场或设备供应走向规范化、完善化的重要举措，是计划经济向市场经济转变的重要步骤，对控制项目成本、保护相关员工廉政廉洁有着重要意义。</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推行招投标制基本形成了由市场定价的价格机制，使工程价格更加趋于合理。推行招投标制最明显的表现是若干投标人之间出现激烈竞争（相互竞标），这种市场竞争最直接、最集中的表现就是在价格上的竞争。通过竞争确定出工程价格，使其趋于合理或下降，这将有利于节约投资、提高投资效益。</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推行招投标制能够不断降低社会平均劳动消耗水平使工程价格得到有效控制。在建筑市场中，不同投标者的个别劳动消耗水平是有差异的。通过推行招投标总是那些个别劳动消耗水平最低或接近最低的投标者获胜，这样便实现了生产力资源较优配置，也对不同投标者实行了优胜劣汰。面对激烈竞争的压力，为了自身的生存与发展，每个投标者都必须切实在降低自己个别劳动消耗水平上下功夫，这样将逐步而全面地降低社会平均劳动消耗水平，使工程价格更合理。</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推行招投标制便于供求双方更好地相互选择，使工程价格更加符合价值基础，进而更好地控制工程造价。由于供求双方各自出发点不同，存在利益矛盾，因而单纯采用“一对一"的选择方式，成功的可能性较小。采用招投标方式就为供求双方在较大范围内进行相互选择创造了条件，为需求者（如建筑单位、业主）与供给者（如勘察设计单位、施工企业）在最佳点上结合提供了可能。需求者对供给者选择（即建设单位、业主对勘察设计单位和施工单位的选择）的基本出发点是“择优选择”，即选择那些报价较低、工期较短、具有良好业绩和管理水平的供给者，这样即为合理控制工程造价奠定了基础。</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推行招投标制有利于规范价格行为，使公开、公平、公正的原则得以贯彻。我国招投标活动有特定的机构进行管理，有严格的程序必须遵循，有高素质的专家支持系统、工程技术人员的群体评估与决策，能够避免盲目过度的竞争和营私舞弊现象的发生，对建筑领域中的腐败现象也是强有力的遏制，使价格形成过程变得透明而较为规范。</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推行招投标制能够减少交易费用，节省人力、物力、财力，进而使工程造价有所降低。我国目前从招标、投标、开标、评标直至定标，均有一些法律、法规规定，已进入制度化操作。招投标中，若干投标人在同一时间、地点报价竞争，在专家支持系统的评估下，以群体决策方式确定中标者，必然减少交易过程的费用，这本身就意味着招标人收益的增加，对工程造价必然产生积极的影响。</w:t>
      </w:r>
    </w:p>
    <w:p>
      <w:pPr>
        <w:pStyle w:val="4"/>
        <w:spacing w:before="0" w:after="0" w:line="360" w:lineRule="auto"/>
        <w:ind w:firstLine="632" w:firstLineChars="200"/>
        <w:rPr>
          <w:rFonts w:ascii="黑体" w:hAnsi="黑体"/>
          <w:b w:val="0"/>
          <w:bCs/>
          <w:szCs w:val="32"/>
        </w:rPr>
      </w:pPr>
      <w:bookmarkStart w:id="1071" w:name="_Toc31348_WPSOffice_Level2"/>
      <w:bookmarkStart w:id="1072" w:name="_Toc14298_WPSOffice_Level2"/>
      <w:bookmarkStart w:id="1073" w:name="_Toc23714_WPSOffice_Level2"/>
      <w:bookmarkStart w:id="1074" w:name="_Toc4712_WPSOffice_Level2"/>
      <w:bookmarkStart w:id="1075" w:name="_Toc12641_WPSOffice_Level2"/>
      <w:bookmarkStart w:id="1076" w:name="_Toc14766_WPSOffice_Level2"/>
      <w:bookmarkStart w:id="1077" w:name="_Toc17555_WPSOffice_Level2"/>
      <w:r>
        <w:rPr>
          <w:rFonts w:hint="eastAsia" w:ascii="黑体" w:hAnsi="黑体"/>
          <w:b w:val="0"/>
          <w:bCs/>
          <w:szCs w:val="32"/>
        </w:rPr>
        <w:t>11.2 招标原则及招投标方案</w:t>
      </w:r>
      <w:bookmarkEnd w:id="1071"/>
      <w:bookmarkEnd w:id="1072"/>
      <w:bookmarkEnd w:id="1073"/>
      <w:bookmarkEnd w:id="1074"/>
      <w:bookmarkEnd w:id="1075"/>
      <w:bookmarkEnd w:id="1076"/>
      <w:bookmarkEnd w:id="1077"/>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11.2.1招标原则</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（1）合法原则：主体资格要合法；活动依据要合法；活动程序要合法；对招标投标的管理和监督要合法。</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（2）公开、公平、公正原则</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公开原则，是指建设工程招投标活动具有较高的透明度。</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公平原则，是指所有投标人在建设工程招投标活动中，享有均等的机会，具有同等的权利，履行相应的义务，任何一方都不受歧视。</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公正原则，是指建设工程招投标活动中，按照同一标准实事求是地对待所有的投标人，不偏袒任何的一方。</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（3）诚实信用原则</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诚实信用原则，是指建设工程招投标活动中，招投标人应该以诚相待，讲求信义，实事求是，做到言行一致，遵守诺言，履行成约，不得见利忘义，投机取巧，弄虚作假，隐瞒欺诈，损害国家、集体和其他人的合法利益。</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11.2.2项目招标范围</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根据《中华人民共和国招投标法》和《甘肃省招标投标管理办法》，本项目的招标范围包括工程施工、施工监理及重要材料设备采购等项。本项目的招标活动，可采取委托给有具有甲级资质的招标代理机构代理。</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11.2.3项目招标组织形式</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考虑建设单位本身不具备相应的招标能力，本项目拟采用委托招标的方式，项目招标工作可以由具备相应资质的招标代理机构实施，以实现项目建设的市场化竞争，为项目质量、工期、成本控制奠定坚实基础。</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11.2.4项目招标方式</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本项目宜根据项目建设单位的实际情况，结合具体工程的建设规模和复杂程度选择招标方式。主要有公开招标、邀请招标等方式进行选择。</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公开招标，是指招标人以招标公告的方式邀请不特定的法人或者其他组织投标。公开招标吸引众多的投标人参加投标竞争，招标人从中择优选择中标单位，这是一种无限制的竞争方式，按竞争程度又可以分为国际竞争性招标和国内竞争性招标。</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采用公开招标方式，招标人有较大的选择范围，可在众多的投标人中选定报价合理、工期较短、信誉良好的承包商，有助于实行公平竞争，提高项目开发建设的效率和效益。公开招标通常适用于工程项目规模较大、建设周期较长、技术复杂的开发项目建设。</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邀请招标，也称选择性招标或有限竞争投标，是指招标人以投标邀请书的方式邀请特定的法人或者其他组织投标。邀请招标应当向三个以上具备承担招标项目的能力、资信良好的特定的法人或者其他组织发出投标邀请书。 </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邀请招标通常在对承包商的基本情况有一定的了解后，才发出投标邀请的。经过选择的投标单位在项目建设的经验、技术力量、经济和信誉上都比较可靠，因而一般能保证项目的进度和质量要求。此外，参加投标的承包商数量少，因而招标时间相对缩短，招标费用也较少。</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11.2.5项目招标程序</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该项目在明确了上述招标范围、组织形式、方式之后，按以下程序进行招投标：</w:t>
      </w:r>
    </w:p>
    <w:p>
      <w:pPr>
        <w:spacing w:line="578" w:lineRule="exact"/>
        <w:ind w:firstLine="632" w:firstLineChars="200"/>
        <w:rPr>
          <w:rFonts w:ascii="仿宋_GB2312" w:hAnsi="仿宋_GB2312" w:eastAsia="仿宋_GB2312" w:cs="仿宋_GB2312"/>
          <w:sz w:val="32"/>
          <w:szCs w:val="32"/>
        </w:rPr>
      </w:pPr>
      <w:bookmarkStart w:id="1078" w:name="_Toc29584_WPSOffice_Level3"/>
      <w:bookmarkStart w:id="1079" w:name="_Toc21450_WPSOffice_Level3"/>
      <w:bookmarkStart w:id="1080" w:name="_Toc6902_WPSOffice_Level3"/>
      <w:bookmarkStart w:id="1081" w:name="_Toc29750_WPSOffice_Level3"/>
      <w:bookmarkStart w:id="1082" w:name="_Toc15625_WPSOffice_Level3"/>
      <w:bookmarkStart w:id="1083" w:name="_Toc22902_WPSOffice_Level3"/>
      <w:bookmarkStart w:id="1084" w:name="_Toc31551_WPSOffice_Level3"/>
      <w:bookmarkStart w:id="1085" w:name="_Toc18374_WPSOffice_Level3"/>
      <w:bookmarkStart w:id="1086" w:name="_Toc24685_WPSOffice_Level3"/>
      <w:r>
        <w:rPr>
          <w:rFonts w:hint="eastAsia" w:ascii="仿宋_GB2312" w:hAnsi="仿宋_GB2312" w:eastAsia="仿宋_GB2312" w:cs="仿宋_GB2312"/>
          <w:sz w:val="32"/>
          <w:szCs w:val="32"/>
        </w:rPr>
        <w:t>（1）编制及发布招标公告（或投标邀请书）；</w:t>
      </w:r>
      <w:bookmarkEnd w:id="1078"/>
      <w:bookmarkEnd w:id="1079"/>
      <w:bookmarkEnd w:id="1080"/>
      <w:bookmarkEnd w:id="1081"/>
      <w:bookmarkEnd w:id="1082"/>
      <w:bookmarkEnd w:id="1083"/>
      <w:bookmarkEnd w:id="1084"/>
      <w:bookmarkEnd w:id="1085"/>
      <w:bookmarkEnd w:id="1086"/>
    </w:p>
    <w:p>
      <w:pPr>
        <w:spacing w:line="578" w:lineRule="exact"/>
        <w:ind w:firstLine="632" w:firstLineChars="200"/>
        <w:rPr>
          <w:rFonts w:ascii="仿宋_GB2312" w:hAnsi="仿宋_GB2312" w:eastAsia="仿宋_GB2312" w:cs="仿宋_GB2312"/>
          <w:sz w:val="32"/>
          <w:szCs w:val="32"/>
        </w:rPr>
      </w:pPr>
      <w:bookmarkStart w:id="1087" w:name="_Toc12981_WPSOffice_Level3"/>
      <w:bookmarkStart w:id="1088" w:name="_Toc21219_WPSOffice_Level3"/>
      <w:bookmarkStart w:id="1089" w:name="_Toc26704_WPSOffice_Level3"/>
      <w:bookmarkStart w:id="1090" w:name="_Toc27534_WPSOffice_Level3"/>
      <w:bookmarkStart w:id="1091" w:name="_Toc6201_WPSOffice_Level3"/>
      <w:bookmarkStart w:id="1092" w:name="_Toc11998_WPSOffice_Level3"/>
      <w:bookmarkStart w:id="1093" w:name="_Toc18227_WPSOffice_Level3"/>
      <w:bookmarkStart w:id="1094" w:name="_Toc30735_WPSOffice_Level3"/>
      <w:bookmarkStart w:id="1095" w:name="_Toc5177_WPSOffice_Level3"/>
      <w:r>
        <w:rPr>
          <w:rFonts w:hint="eastAsia" w:ascii="仿宋_GB2312" w:hAnsi="仿宋_GB2312" w:eastAsia="仿宋_GB2312" w:cs="仿宋_GB2312"/>
          <w:sz w:val="32"/>
          <w:szCs w:val="32"/>
        </w:rPr>
        <w:t>（2）资格审查；</w:t>
      </w:r>
      <w:bookmarkEnd w:id="1087"/>
      <w:bookmarkEnd w:id="1088"/>
      <w:bookmarkEnd w:id="1089"/>
      <w:bookmarkEnd w:id="1090"/>
      <w:bookmarkEnd w:id="1091"/>
      <w:bookmarkEnd w:id="1092"/>
      <w:bookmarkEnd w:id="1093"/>
      <w:bookmarkEnd w:id="1094"/>
      <w:bookmarkEnd w:id="1095"/>
    </w:p>
    <w:p>
      <w:pPr>
        <w:spacing w:line="578" w:lineRule="exact"/>
        <w:ind w:firstLine="632" w:firstLineChars="200"/>
        <w:rPr>
          <w:rFonts w:ascii="仿宋_GB2312" w:hAnsi="仿宋_GB2312" w:eastAsia="仿宋_GB2312" w:cs="仿宋_GB2312"/>
          <w:sz w:val="32"/>
          <w:szCs w:val="32"/>
        </w:rPr>
      </w:pPr>
      <w:bookmarkStart w:id="1096" w:name="_Toc9493_WPSOffice_Level3"/>
      <w:bookmarkStart w:id="1097" w:name="_Toc26780_WPSOffice_Level3"/>
      <w:bookmarkStart w:id="1098" w:name="_Toc5607_WPSOffice_Level3"/>
      <w:bookmarkStart w:id="1099" w:name="_Toc9426_WPSOffice_Level3"/>
      <w:bookmarkStart w:id="1100" w:name="_Toc27015_WPSOffice_Level3"/>
      <w:bookmarkStart w:id="1101" w:name="_Toc24638_WPSOffice_Level3"/>
      <w:bookmarkStart w:id="1102" w:name="_Toc4652_WPSOffice_Level3"/>
      <w:bookmarkStart w:id="1103" w:name="_Toc16484_WPSOffice_Level3"/>
      <w:bookmarkStart w:id="1104" w:name="_Toc26160_WPSOffice_Level3"/>
      <w:r>
        <w:rPr>
          <w:rFonts w:hint="eastAsia" w:ascii="仿宋_GB2312" w:hAnsi="仿宋_GB2312" w:eastAsia="仿宋_GB2312" w:cs="仿宋_GB2312"/>
          <w:sz w:val="32"/>
          <w:szCs w:val="32"/>
        </w:rPr>
        <w:t>（3）制定发售招标文件；</w:t>
      </w:r>
      <w:bookmarkEnd w:id="1096"/>
      <w:bookmarkEnd w:id="1097"/>
      <w:bookmarkEnd w:id="1098"/>
      <w:bookmarkEnd w:id="1099"/>
      <w:bookmarkEnd w:id="1100"/>
      <w:bookmarkEnd w:id="1101"/>
      <w:bookmarkEnd w:id="1102"/>
      <w:bookmarkEnd w:id="1103"/>
      <w:bookmarkEnd w:id="1104"/>
    </w:p>
    <w:p>
      <w:pPr>
        <w:spacing w:line="578" w:lineRule="exact"/>
        <w:ind w:firstLine="632" w:firstLineChars="200"/>
        <w:rPr>
          <w:rFonts w:ascii="仿宋_GB2312" w:hAnsi="仿宋_GB2312" w:eastAsia="仿宋_GB2312" w:cs="仿宋_GB2312"/>
          <w:sz w:val="32"/>
          <w:szCs w:val="32"/>
        </w:rPr>
      </w:pPr>
      <w:bookmarkStart w:id="1105" w:name="_Toc17053_WPSOffice_Level3"/>
      <w:bookmarkStart w:id="1106" w:name="_Toc12979_WPSOffice_Level3"/>
      <w:bookmarkStart w:id="1107" w:name="_Toc22395_WPSOffice_Level3"/>
      <w:bookmarkStart w:id="1108" w:name="_Toc11680_WPSOffice_Level3"/>
      <w:bookmarkStart w:id="1109" w:name="_Toc25408_WPSOffice_Level3"/>
      <w:bookmarkStart w:id="1110" w:name="_Toc20219_WPSOffice_Level3"/>
      <w:bookmarkStart w:id="1111" w:name="_Toc20243_WPSOffice_Level3"/>
      <w:bookmarkStart w:id="1112" w:name="_Toc8507_WPSOffice_Level3"/>
      <w:bookmarkStart w:id="1113" w:name="_Toc24613_WPSOffice_Level3"/>
      <w:r>
        <w:rPr>
          <w:rFonts w:hint="eastAsia" w:ascii="仿宋_GB2312" w:hAnsi="仿宋_GB2312" w:eastAsia="仿宋_GB2312" w:cs="仿宋_GB2312"/>
          <w:sz w:val="32"/>
          <w:szCs w:val="32"/>
        </w:rPr>
        <w:t>（4）组织现场踏勘、召开答疑会；</w:t>
      </w:r>
      <w:bookmarkEnd w:id="1105"/>
      <w:bookmarkEnd w:id="1106"/>
      <w:bookmarkEnd w:id="1107"/>
      <w:bookmarkEnd w:id="1108"/>
      <w:bookmarkEnd w:id="1109"/>
      <w:bookmarkEnd w:id="1110"/>
      <w:bookmarkEnd w:id="1111"/>
      <w:bookmarkEnd w:id="1112"/>
      <w:bookmarkEnd w:id="1113"/>
    </w:p>
    <w:p>
      <w:pPr>
        <w:spacing w:line="578" w:lineRule="exact"/>
        <w:ind w:firstLine="632" w:firstLineChars="200"/>
        <w:rPr>
          <w:rFonts w:ascii="仿宋_GB2312" w:hAnsi="仿宋_GB2312" w:eastAsia="仿宋_GB2312" w:cs="仿宋_GB2312"/>
          <w:sz w:val="32"/>
          <w:szCs w:val="32"/>
        </w:rPr>
      </w:pPr>
      <w:bookmarkStart w:id="1114" w:name="_Toc27995_WPSOffice_Level3"/>
      <w:bookmarkStart w:id="1115" w:name="_Toc18800_WPSOffice_Level3"/>
      <w:bookmarkStart w:id="1116" w:name="_Toc11992_WPSOffice_Level3"/>
      <w:bookmarkStart w:id="1117" w:name="_Toc23154_WPSOffice_Level3"/>
      <w:bookmarkStart w:id="1118" w:name="_Toc25516_WPSOffice_Level3"/>
      <w:bookmarkStart w:id="1119" w:name="_Toc1831_WPSOffice_Level3"/>
      <w:bookmarkStart w:id="1120" w:name="_Toc20743_WPSOffice_Level3"/>
      <w:bookmarkStart w:id="1121" w:name="_Toc14895_WPSOffice_Level3"/>
      <w:bookmarkStart w:id="1122" w:name="_Toc6354_WPSOffice_Level3"/>
      <w:r>
        <w:rPr>
          <w:rFonts w:hint="eastAsia" w:ascii="仿宋_GB2312" w:hAnsi="仿宋_GB2312" w:eastAsia="仿宋_GB2312" w:cs="仿宋_GB2312"/>
          <w:sz w:val="32"/>
          <w:szCs w:val="32"/>
        </w:rPr>
        <w:t>（5）组织投标；</w:t>
      </w:r>
      <w:bookmarkEnd w:id="1114"/>
      <w:bookmarkEnd w:id="1115"/>
      <w:bookmarkEnd w:id="1116"/>
      <w:bookmarkEnd w:id="1117"/>
      <w:bookmarkEnd w:id="1118"/>
      <w:bookmarkEnd w:id="1119"/>
      <w:bookmarkEnd w:id="1120"/>
      <w:bookmarkEnd w:id="1121"/>
      <w:bookmarkEnd w:id="1122"/>
    </w:p>
    <w:p>
      <w:pPr>
        <w:spacing w:line="578" w:lineRule="exact"/>
        <w:ind w:firstLine="632" w:firstLineChars="200"/>
        <w:rPr>
          <w:rFonts w:ascii="仿宋_GB2312" w:hAnsi="仿宋_GB2312" w:eastAsia="仿宋_GB2312" w:cs="仿宋_GB2312"/>
          <w:sz w:val="32"/>
          <w:szCs w:val="32"/>
        </w:rPr>
      </w:pPr>
      <w:bookmarkStart w:id="1123" w:name="_Toc32198_WPSOffice_Level3"/>
      <w:bookmarkStart w:id="1124" w:name="_Toc7351_WPSOffice_Level3"/>
      <w:bookmarkStart w:id="1125" w:name="_Toc10957_WPSOffice_Level3"/>
      <w:bookmarkStart w:id="1126" w:name="_Toc18074_WPSOffice_Level3"/>
      <w:bookmarkStart w:id="1127" w:name="_Toc11965_WPSOffice_Level3"/>
      <w:bookmarkStart w:id="1128" w:name="_Toc26572_WPSOffice_Level3"/>
      <w:bookmarkStart w:id="1129" w:name="_Toc23099_WPSOffice_Level3"/>
      <w:bookmarkStart w:id="1130" w:name="_Toc6237_WPSOffice_Level3"/>
      <w:bookmarkStart w:id="1131" w:name="_Toc29704_WPSOffice_Level3"/>
      <w:r>
        <w:rPr>
          <w:rFonts w:hint="eastAsia" w:ascii="仿宋_GB2312" w:hAnsi="仿宋_GB2312" w:eastAsia="仿宋_GB2312" w:cs="仿宋_GB2312"/>
          <w:sz w:val="32"/>
          <w:szCs w:val="32"/>
        </w:rPr>
        <w:t>（6）开标、评标、定标；</w:t>
      </w:r>
      <w:bookmarkEnd w:id="1123"/>
      <w:bookmarkEnd w:id="1124"/>
      <w:bookmarkEnd w:id="1125"/>
      <w:bookmarkEnd w:id="1126"/>
      <w:bookmarkEnd w:id="1127"/>
      <w:bookmarkEnd w:id="1128"/>
      <w:bookmarkEnd w:id="1129"/>
      <w:bookmarkEnd w:id="1130"/>
      <w:bookmarkEnd w:id="1131"/>
    </w:p>
    <w:p>
      <w:pPr>
        <w:spacing w:line="578" w:lineRule="exact"/>
        <w:ind w:firstLine="632" w:firstLineChars="200"/>
        <w:rPr>
          <w:rFonts w:ascii="仿宋_GB2312" w:hAnsi="仿宋_GB2312" w:eastAsia="仿宋_GB2312" w:cs="仿宋_GB2312"/>
          <w:sz w:val="32"/>
          <w:szCs w:val="32"/>
        </w:rPr>
      </w:pPr>
      <w:bookmarkStart w:id="1132" w:name="_Toc3323_WPSOffice_Level3"/>
      <w:bookmarkStart w:id="1133" w:name="_Toc8332_WPSOffice_Level3"/>
      <w:bookmarkStart w:id="1134" w:name="_Toc3336_WPSOffice_Level3"/>
      <w:bookmarkStart w:id="1135" w:name="_Toc2126_WPSOffice_Level3"/>
      <w:bookmarkStart w:id="1136" w:name="_Toc14304_WPSOffice_Level3"/>
      <w:bookmarkStart w:id="1137" w:name="_Toc15911_WPSOffice_Level3"/>
      <w:bookmarkStart w:id="1138" w:name="_Toc24886_WPSOffice_Level3"/>
      <w:bookmarkStart w:id="1139" w:name="_Toc15470_WPSOffice_Level3"/>
      <w:bookmarkStart w:id="1140" w:name="_Toc17758_WPSOffice_Level3"/>
      <w:r>
        <w:rPr>
          <w:rFonts w:hint="eastAsia" w:ascii="仿宋_GB2312" w:hAnsi="仿宋_GB2312" w:eastAsia="仿宋_GB2312" w:cs="仿宋_GB2312"/>
          <w:sz w:val="32"/>
          <w:szCs w:val="32"/>
        </w:rPr>
        <w:t>（7）草签合同。</w:t>
      </w:r>
      <w:bookmarkEnd w:id="1132"/>
      <w:bookmarkEnd w:id="1133"/>
      <w:bookmarkEnd w:id="1134"/>
      <w:bookmarkEnd w:id="1135"/>
      <w:bookmarkEnd w:id="1136"/>
      <w:bookmarkEnd w:id="1137"/>
      <w:bookmarkEnd w:id="1138"/>
      <w:bookmarkEnd w:id="1139"/>
      <w:bookmarkEnd w:id="114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11.2.6评标专家库及评标委员会情况</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本项目评标委员会由5人以上单数组建，由项目法人和评标专家组成：</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（1）评标专家从国家或省政府部门评标专家库或招标代理机构的专家库内抽取；</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（2）评标委员会成员由技术、经济等方面的专家及招标人的代表组成，成员人数符合5人以上单数要求，其中技术、经济等方面的专家不少于成员总数的三分之二。</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11.2.7对投标单位要求及资格审查方式</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本项目拟采用的资格审查方式初步拟定采用资格预审方式，具体方案应由建设单位会同招标代理机构详细制定。</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对投标单位作如下要求：</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（1）具有相应的资质条件，独立法人实体；</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（2）承担过类似项目，工作业绩良好，信誉高；</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（3）财务状况良好，未处于财产被接管、破产或其他关、停、并、转状态；</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（4）近三年不存在骗取合同及其他经济方面的严重违纪；</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（5）安全记录良好，投标当年未发生过重大质量安全事故。</w:t>
      </w:r>
    </w:p>
    <w:p>
      <w:pPr>
        <w:spacing w:line="578" w:lineRule="exact"/>
        <w:ind w:firstLine="632" w:firstLineChars="200"/>
        <w:rPr>
          <w:rFonts w:ascii="仿宋_GB2312" w:hAnsi="仿宋_GB2312" w:eastAsia="仿宋_GB2312" w:cs="仿宋_GB2312"/>
          <w:sz w:val="32"/>
          <w:szCs w:val="32"/>
        </w:rPr>
      </w:pPr>
      <w:bookmarkStart w:id="1141" w:name="_Toc291008018"/>
      <w:bookmarkStart w:id="1142" w:name="_Toc287212175"/>
      <w:r>
        <w:rPr>
          <w:rFonts w:hint="eastAsia" w:ascii="仿宋_GB2312" w:hAnsi="仿宋_GB2312" w:eastAsia="仿宋_GB2312" w:cs="仿宋_GB2312"/>
          <w:sz w:val="32"/>
          <w:szCs w:val="32"/>
        </w:rPr>
        <w:t>11.2.8项目标段划分</w:t>
      </w:r>
      <w:bookmarkEnd w:id="1141"/>
      <w:bookmarkEnd w:id="1142"/>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为更加科学合理进行项目标段划分，待项目初设方案后，进一步划分各标段内容。</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11.2.9按照国家招投标法及嘉峪关市政府集中采购目录及政府采购限额标准的通知规定，确定项目内容的招投标形式。见下表：</w:t>
      </w:r>
    </w:p>
    <w:p>
      <w:pPr>
        <w:jc w:val="center"/>
        <w:rPr>
          <w:rFonts w:ascii="宋体" w:hAnsi="宋体"/>
          <w:b/>
          <w:sz w:val="28"/>
        </w:rPr>
      </w:pPr>
      <w:bookmarkStart w:id="1143" w:name="_Toc8193_WPSOffice_Level2"/>
      <w:bookmarkStart w:id="1144" w:name="_Toc12894_WPSOffice_Level2"/>
      <w:bookmarkStart w:id="1145" w:name="_Toc32198_WPSOffice_Level2"/>
      <w:bookmarkStart w:id="1146" w:name="_Toc31125_WPSOffice_Level2"/>
      <w:bookmarkStart w:id="1147" w:name="_Toc31698_WPSOffice_Level2"/>
      <w:bookmarkStart w:id="1148" w:name="_Toc24992_WPSOffice_Level2"/>
      <w:bookmarkStart w:id="1149" w:name="_Toc18280_WPSOffice_Level2"/>
      <w:bookmarkStart w:id="1150" w:name="_Toc5672_WPSOffice_Level2"/>
    </w:p>
    <w:p>
      <w:pPr>
        <w:jc w:val="center"/>
        <w:rPr>
          <w:rFonts w:ascii="宋体" w:hAnsi="宋体"/>
          <w:b/>
          <w:sz w:val="28"/>
        </w:rPr>
      </w:pPr>
    </w:p>
    <w:p>
      <w:pPr>
        <w:jc w:val="center"/>
        <w:rPr>
          <w:rFonts w:ascii="宋体" w:hAnsi="宋体"/>
          <w:b/>
          <w:sz w:val="28"/>
        </w:rPr>
      </w:pPr>
    </w:p>
    <w:p>
      <w:pPr>
        <w:jc w:val="center"/>
        <w:rPr>
          <w:rFonts w:ascii="宋体" w:hAnsi="宋体"/>
          <w:b/>
          <w:sz w:val="28"/>
        </w:rPr>
      </w:pPr>
    </w:p>
    <w:p>
      <w:pPr>
        <w:jc w:val="center"/>
        <w:rPr>
          <w:rFonts w:ascii="宋体" w:hAnsi="宋体"/>
          <w:b/>
          <w:sz w:val="28"/>
        </w:rPr>
      </w:pPr>
    </w:p>
    <w:p>
      <w:pPr>
        <w:jc w:val="center"/>
        <w:rPr>
          <w:rFonts w:ascii="宋体" w:hAnsi="宋体"/>
          <w:b/>
          <w:sz w:val="28"/>
        </w:rPr>
      </w:pPr>
      <w:bookmarkStart w:id="1151" w:name="_Toc11230_WPSOffice_Level2"/>
      <w:bookmarkStart w:id="1152" w:name="_Toc4470_WPSOffice_Level2"/>
      <w:bookmarkStart w:id="1153" w:name="_Toc26453_WPSOffice_Level2"/>
      <w:r>
        <w:rPr>
          <w:rFonts w:hint="eastAsia" w:ascii="宋体" w:hAnsi="宋体"/>
          <w:b/>
          <w:sz w:val="28"/>
        </w:rPr>
        <w:t>招标基本情况表</w:t>
      </w:r>
      <w:bookmarkEnd w:id="1143"/>
      <w:bookmarkEnd w:id="1144"/>
      <w:bookmarkEnd w:id="1145"/>
      <w:bookmarkEnd w:id="1146"/>
      <w:bookmarkEnd w:id="1147"/>
      <w:bookmarkEnd w:id="1148"/>
      <w:bookmarkEnd w:id="1149"/>
      <w:bookmarkEnd w:id="1150"/>
      <w:bookmarkEnd w:id="1151"/>
      <w:bookmarkEnd w:id="1152"/>
      <w:bookmarkEnd w:id="1153"/>
    </w:p>
    <w:tbl>
      <w:tblPr>
        <w:tblStyle w:val="16"/>
        <w:tblW w:w="8820" w:type="dxa"/>
        <w:tblInd w:w="108" w:type="dxa"/>
        <w:tblLayout w:type="fixed"/>
        <w:tblCellMar>
          <w:top w:w="0" w:type="dxa"/>
          <w:left w:w="108" w:type="dxa"/>
          <w:bottom w:w="0" w:type="dxa"/>
          <w:right w:w="108" w:type="dxa"/>
        </w:tblCellMar>
      </w:tblPr>
      <w:tblGrid>
        <w:gridCol w:w="1050"/>
        <w:gridCol w:w="817"/>
        <w:gridCol w:w="817"/>
        <w:gridCol w:w="817"/>
        <w:gridCol w:w="817"/>
        <w:gridCol w:w="817"/>
        <w:gridCol w:w="817"/>
        <w:gridCol w:w="851"/>
        <w:gridCol w:w="1072"/>
        <w:gridCol w:w="945"/>
      </w:tblGrid>
      <w:tr>
        <w:tblPrEx>
          <w:tblCellMar>
            <w:top w:w="0" w:type="dxa"/>
            <w:left w:w="108" w:type="dxa"/>
            <w:bottom w:w="0" w:type="dxa"/>
            <w:right w:w="108" w:type="dxa"/>
          </w:tblCellMar>
        </w:tblPrEx>
        <w:trPr>
          <w:cantSplit/>
          <w:trHeight w:val="640" w:hRule="atLeast"/>
        </w:trPr>
        <w:tc>
          <w:tcPr>
            <w:tcW w:w="1050" w:type="dxa"/>
            <w:vMerge w:val="restart"/>
            <w:tcBorders>
              <w:top w:val="single" w:color="auto" w:sz="8" w:space="0"/>
              <w:left w:val="single" w:color="auto" w:sz="8" w:space="0"/>
              <w:bottom w:val="single" w:color="000000" w:sz="4" w:space="0"/>
              <w:right w:val="single" w:color="auto" w:sz="4" w:space="0"/>
            </w:tcBorders>
            <w:vAlign w:val="center"/>
          </w:tcPr>
          <w:p>
            <w:pPr>
              <w:widowControl/>
              <w:jc w:val="center"/>
              <w:rPr>
                <w:rFonts w:ascii="宋体" w:hAnsi="宋体"/>
                <w:kern w:val="0"/>
                <w:sz w:val="24"/>
              </w:rPr>
            </w:pPr>
            <w:r>
              <w:rPr>
                <w:rFonts w:hint="eastAsia" w:ascii="宋体" w:hAnsi="宋体"/>
                <w:kern w:val="0"/>
                <w:sz w:val="24"/>
              </w:rPr>
              <w:t>　</w:t>
            </w:r>
          </w:p>
        </w:tc>
        <w:tc>
          <w:tcPr>
            <w:tcW w:w="1634" w:type="dxa"/>
            <w:gridSpan w:val="2"/>
            <w:tcBorders>
              <w:top w:val="single" w:color="auto" w:sz="8" w:space="0"/>
              <w:left w:val="nil"/>
              <w:bottom w:val="single" w:color="auto" w:sz="4" w:space="0"/>
              <w:right w:val="single" w:color="auto" w:sz="4" w:space="0"/>
            </w:tcBorders>
            <w:vAlign w:val="center"/>
          </w:tcPr>
          <w:p>
            <w:pPr>
              <w:widowControl/>
              <w:jc w:val="center"/>
              <w:rPr>
                <w:rFonts w:ascii="宋体" w:hAnsi="宋体"/>
                <w:kern w:val="0"/>
                <w:sz w:val="24"/>
              </w:rPr>
            </w:pPr>
            <w:r>
              <w:rPr>
                <w:rFonts w:hint="eastAsia" w:ascii="宋体" w:hAnsi="宋体"/>
                <w:kern w:val="0"/>
                <w:sz w:val="24"/>
              </w:rPr>
              <w:t>招标范围</w:t>
            </w:r>
          </w:p>
        </w:tc>
        <w:tc>
          <w:tcPr>
            <w:tcW w:w="1634" w:type="dxa"/>
            <w:gridSpan w:val="2"/>
            <w:tcBorders>
              <w:top w:val="single" w:color="auto" w:sz="8" w:space="0"/>
              <w:left w:val="nil"/>
              <w:bottom w:val="single" w:color="auto" w:sz="4" w:space="0"/>
              <w:right w:val="single" w:color="auto" w:sz="4" w:space="0"/>
            </w:tcBorders>
            <w:vAlign w:val="center"/>
          </w:tcPr>
          <w:p>
            <w:pPr>
              <w:widowControl/>
              <w:jc w:val="center"/>
              <w:rPr>
                <w:rFonts w:ascii="宋体" w:hAnsi="宋体"/>
                <w:kern w:val="0"/>
                <w:sz w:val="24"/>
              </w:rPr>
            </w:pPr>
            <w:r>
              <w:rPr>
                <w:rFonts w:hint="eastAsia" w:ascii="宋体" w:hAnsi="宋体"/>
                <w:kern w:val="0"/>
                <w:sz w:val="24"/>
              </w:rPr>
              <w:t>招标组</w:t>
            </w:r>
          </w:p>
          <w:p>
            <w:pPr>
              <w:widowControl/>
              <w:jc w:val="center"/>
              <w:rPr>
                <w:rFonts w:ascii="宋体" w:hAnsi="宋体"/>
                <w:kern w:val="0"/>
                <w:sz w:val="24"/>
              </w:rPr>
            </w:pPr>
            <w:r>
              <w:rPr>
                <w:rFonts w:hint="eastAsia" w:ascii="宋体" w:hAnsi="宋体"/>
                <w:kern w:val="0"/>
                <w:sz w:val="24"/>
              </w:rPr>
              <w:t>织形式</w:t>
            </w:r>
          </w:p>
        </w:tc>
        <w:tc>
          <w:tcPr>
            <w:tcW w:w="1634" w:type="dxa"/>
            <w:gridSpan w:val="2"/>
            <w:tcBorders>
              <w:top w:val="single" w:color="auto" w:sz="8" w:space="0"/>
              <w:left w:val="nil"/>
              <w:bottom w:val="single" w:color="auto" w:sz="4" w:space="0"/>
              <w:right w:val="single" w:color="auto" w:sz="4" w:space="0"/>
            </w:tcBorders>
            <w:vAlign w:val="center"/>
          </w:tcPr>
          <w:p>
            <w:pPr>
              <w:widowControl/>
              <w:jc w:val="center"/>
              <w:rPr>
                <w:rFonts w:ascii="宋体" w:hAnsi="宋体"/>
                <w:kern w:val="0"/>
                <w:sz w:val="24"/>
              </w:rPr>
            </w:pPr>
            <w:r>
              <w:rPr>
                <w:rFonts w:hint="eastAsia" w:ascii="宋体" w:hAnsi="宋体"/>
                <w:kern w:val="0"/>
                <w:sz w:val="24"/>
              </w:rPr>
              <w:t>招标方式</w:t>
            </w:r>
          </w:p>
        </w:tc>
        <w:tc>
          <w:tcPr>
            <w:tcW w:w="851" w:type="dxa"/>
            <w:vMerge w:val="restart"/>
            <w:tcBorders>
              <w:top w:val="single" w:color="auto" w:sz="8" w:space="0"/>
              <w:left w:val="single" w:color="auto" w:sz="4" w:space="0"/>
              <w:bottom w:val="single" w:color="000000" w:sz="4" w:space="0"/>
              <w:right w:val="single" w:color="auto" w:sz="4" w:space="0"/>
            </w:tcBorders>
            <w:vAlign w:val="center"/>
          </w:tcPr>
          <w:p>
            <w:pPr>
              <w:widowControl/>
              <w:rPr>
                <w:rFonts w:ascii="宋体" w:hAnsi="宋体"/>
                <w:kern w:val="0"/>
                <w:sz w:val="24"/>
              </w:rPr>
            </w:pPr>
            <w:r>
              <w:rPr>
                <w:rFonts w:hint="eastAsia" w:ascii="宋体" w:hAnsi="宋体"/>
                <w:kern w:val="0"/>
                <w:sz w:val="24"/>
              </w:rPr>
              <w:t>不采用 招标方式</w:t>
            </w:r>
          </w:p>
        </w:tc>
        <w:tc>
          <w:tcPr>
            <w:tcW w:w="1072" w:type="dxa"/>
            <w:vMerge w:val="restart"/>
            <w:tcBorders>
              <w:top w:val="single" w:color="auto" w:sz="8" w:space="0"/>
              <w:left w:val="single" w:color="auto" w:sz="4" w:space="0"/>
              <w:bottom w:val="single" w:color="000000" w:sz="4" w:space="0"/>
              <w:right w:val="single" w:color="auto" w:sz="4" w:space="0"/>
            </w:tcBorders>
            <w:vAlign w:val="center"/>
          </w:tcPr>
          <w:p>
            <w:pPr>
              <w:widowControl/>
              <w:rPr>
                <w:rFonts w:ascii="宋体" w:hAnsi="宋体"/>
                <w:kern w:val="0"/>
                <w:sz w:val="24"/>
              </w:rPr>
            </w:pPr>
            <w:r>
              <w:rPr>
                <w:rFonts w:hint="eastAsia" w:ascii="宋体" w:hAnsi="宋体"/>
                <w:kern w:val="0"/>
                <w:sz w:val="24"/>
              </w:rPr>
              <w:t>招标估算金额(万元)</w:t>
            </w:r>
          </w:p>
        </w:tc>
        <w:tc>
          <w:tcPr>
            <w:tcW w:w="945" w:type="dxa"/>
            <w:vMerge w:val="restart"/>
            <w:tcBorders>
              <w:top w:val="single" w:color="auto" w:sz="8" w:space="0"/>
              <w:left w:val="single" w:color="auto" w:sz="4" w:space="0"/>
              <w:bottom w:val="single" w:color="auto" w:sz="4" w:space="0"/>
              <w:right w:val="single" w:color="auto" w:sz="8" w:space="0"/>
            </w:tcBorders>
            <w:vAlign w:val="center"/>
          </w:tcPr>
          <w:p>
            <w:pPr>
              <w:widowControl/>
              <w:jc w:val="center"/>
              <w:rPr>
                <w:rFonts w:ascii="宋体" w:hAnsi="宋体"/>
                <w:kern w:val="0"/>
                <w:sz w:val="24"/>
              </w:rPr>
            </w:pPr>
            <w:r>
              <w:rPr>
                <w:rFonts w:hint="eastAsia" w:ascii="宋体" w:hAnsi="宋体"/>
                <w:kern w:val="0"/>
                <w:sz w:val="24"/>
              </w:rPr>
              <w:t>备注</w:t>
            </w:r>
          </w:p>
        </w:tc>
      </w:tr>
      <w:tr>
        <w:tblPrEx>
          <w:tblCellMar>
            <w:top w:w="0" w:type="dxa"/>
            <w:left w:w="108" w:type="dxa"/>
            <w:bottom w:w="0" w:type="dxa"/>
            <w:right w:w="108" w:type="dxa"/>
          </w:tblCellMar>
        </w:tblPrEx>
        <w:trPr>
          <w:cantSplit/>
          <w:trHeight w:val="606" w:hRule="atLeast"/>
        </w:trPr>
        <w:tc>
          <w:tcPr>
            <w:tcW w:w="1050" w:type="dxa"/>
            <w:vMerge w:val="continue"/>
            <w:tcBorders>
              <w:top w:val="single" w:color="auto" w:sz="8" w:space="0"/>
              <w:left w:val="single" w:color="auto" w:sz="8" w:space="0"/>
              <w:bottom w:val="single" w:color="000000" w:sz="4" w:space="0"/>
              <w:right w:val="single" w:color="auto" w:sz="4" w:space="0"/>
            </w:tcBorders>
            <w:vAlign w:val="center"/>
          </w:tcPr>
          <w:p>
            <w:pPr>
              <w:widowControl/>
              <w:jc w:val="left"/>
              <w:rPr>
                <w:rFonts w:ascii="宋体" w:hAnsi="宋体"/>
                <w:kern w:val="0"/>
                <w:sz w:val="24"/>
              </w:rPr>
            </w:pPr>
          </w:p>
        </w:tc>
        <w:tc>
          <w:tcPr>
            <w:tcW w:w="817" w:type="dxa"/>
            <w:tcBorders>
              <w:top w:val="nil"/>
              <w:left w:val="nil"/>
              <w:bottom w:val="single" w:color="auto" w:sz="4" w:space="0"/>
              <w:right w:val="single" w:color="auto" w:sz="4" w:space="0"/>
            </w:tcBorders>
            <w:vAlign w:val="center"/>
          </w:tcPr>
          <w:p>
            <w:pPr>
              <w:widowControl/>
              <w:jc w:val="center"/>
              <w:rPr>
                <w:rFonts w:ascii="宋体" w:hAnsi="宋体"/>
                <w:kern w:val="0"/>
                <w:sz w:val="24"/>
              </w:rPr>
            </w:pPr>
            <w:r>
              <w:rPr>
                <w:rFonts w:hint="eastAsia" w:ascii="宋体" w:hAnsi="宋体"/>
                <w:kern w:val="0"/>
                <w:sz w:val="24"/>
              </w:rPr>
              <w:t>全部招标</w:t>
            </w:r>
          </w:p>
        </w:tc>
        <w:tc>
          <w:tcPr>
            <w:tcW w:w="817" w:type="dxa"/>
            <w:tcBorders>
              <w:top w:val="nil"/>
              <w:left w:val="nil"/>
              <w:bottom w:val="single" w:color="auto" w:sz="4" w:space="0"/>
              <w:right w:val="single" w:color="auto" w:sz="4" w:space="0"/>
            </w:tcBorders>
            <w:vAlign w:val="center"/>
          </w:tcPr>
          <w:p>
            <w:pPr>
              <w:widowControl/>
              <w:jc w:val="center"/>
              <w:rPr>
                <w:rFonts w:ascii="宋体" w:hAnsi="宋体"/>
                <w:kern w:val="0"/>
                <w:sz w:val="24"/>
              </w:rPr>
            </w:pPr>
            <w:r>
              <w:rPr>
                <w:rFonts w:hint="eastAsia" w:ascii="宋体" w:hAnsi="宋体"/>
                <w:kern w:val="0"/>
                <w:sz w:val="24"/>
              </w:rPr>
              <w:t>部分  招标</w:t>
            </w:r>
          </w:p>
        </w:tc>
        <w:tc>
          <w:tcPr>
            <w:tcW w:w="817" w:type="dxa"/>
            <w:tcBorders>
              <w:top w:val="nil"/>
              <w:left w:val="nil"/>
              <w:bottom w:val="single" w:color="auto" w:sz="4" w:space="0"/>
              <w:right w:val="single" w:color="auto" w:sz="4" w:space="0"/>
            </w:tcBorders>
            <w:vAlign w:val="center"/>
          </w:tcPr>
          <w:p>
            <w:pPr>
              <w:widowControl/>
              <w:jc w:val="center"/>
              <w:rPr>
                <w:rFonts w:ascii="宋体" w:hAnsi="宋体"/>
                <w:kern w:val="0"/>
                <w:sz w:val="24"/>
              </w:rPr>
            </w:pPr>
            <w:r>
              <w:rPr>
                <w:rFonts w:hint="eastAsia" w:ascii="宋体" w:hAnsi="宋体"/>
                <w:kern w:val="0"/>
                <w:sz w:val="24"/>
              </w:rPr>
              <w:t>自行</w:t>
            </w:r>
          </w:p>
          <w:p>
            <w:pPr>
              <w:widowControl/>
              <w:jc w:val="center"/>
              <w:rPr>
                <w:rFonts w:ascii="宋体" w:hAnsi="宋体"/>
                <w:kern w:val="0"/>
                <w:sz w:val="24"/>
              </w:rPr>
            </w:pPr>
            <w:r>
              <w:rPr>
                <w:rFonts w:hint="eastAsia" w:ascii="宋体" w:hAnsi="宋体"/>
                <w:kern w:val="0"/>
                <w:sz w:val="24"/>
              </w:rPr>
              <w:t>招标</w:t>
            </w:r>
          </w:p>
        </w:tc>
        <w:tc>
          <w:tcPr>
            <w:tcW w:w="817" w:type="dxa"/>
            <w:tcBorders>
              <w:top w:val="nil"/>
              <w:left w:val="nil"/>
              <w:bottom w:val="single" w:color="auto" w:sz="4" w:space="0"/>
              <w:right w:val="single" w:color="auto" w:sz="4" w:space="0"/>
            </w:tcBorders>
            <w:vAlign w:val="center"/>
          </w:tcPr>
          <w:p>
            <w:pPr>
              <w:widowControl/>
              <w:jc w:val="center"/>
              <w:rPr>
                <w:rFonts w:ascii="宋体" w:hAnsi="宋体"/>
                <w:kern w:val="0"/>
                <w:sz w:val="24"/>
              </w:rPr>
            </w:pPr>
            <w:r>
              <w:rPr>
                <w:rFonts w:hint="eastAsia" w:ascii="宋体" w:hAnsi="宋体"/>
                <w:kern w:val="0"/>
                <w:sz w:val="24"/>
              </w:rPr>
              <w:t>委托     招标</w:t>
            </w:r>
          </w:p>
        </w:tc>
        <w:tc>
          <w:tcPr>
            <w:tcW w:w="817" w:type="dxa"/>
            <w:tcBorders>
              <w:top w:val="nil"/>
              <w:left w:val="nil"/>
              <w:bottom w:val="single" w:color="auto" w:sz="4" w:space="0"/>
              <w:right w:val="single" w:color="auto" w:sz="4" w:space="0"/>
            </w:tcBorders>
            <w:vAlign w:val="center"/>
          </w:tcPr>
          <w:p>
            <w:pPr>
              <w:widowControl/>
              <w:jc w:val="center"/>
              <w:rPr>
                <w:rFonts w:ascii="宋体" w:hAnsi="宋体"/>
                <w:kern w:val="0"/>
                <w:sz w:val="24"/>
              </w:rPr>
            </w:pPr>
            <w:r>
              <w:rPr>
                <w:rFonts w:hint="eastAsia" w:ascii="宋体" w:hAnsi="宋体"/>
                <w:kern w:val="0"/>
                <w:sz w:val="24"/>
              </w:rPr>
              <w:t>公开招标</w:t>
            </w:r>
          </w:p>
        </w:tc>
        <w:tc>
          <w:tcPr>
            <w:tcW w:w="817" w:type="dxa"/>
            <w:tcBorders>
              <w:top w:val="nil"/>
              <w:left w:val="nil"/>
              <w:bottom w:val="single" w:color="auto" w:sz="4" w:space="0"/>
              <w:right w:val="single" w:color="auto" w:sz="4" w:space="0"/>
            </w:tcBorders>
            <w:vAlign w:val="center"/>
          </w:tcPr>
          <w:p>
            <w:pPr>
              <w:widowControl/>
              <w:jc w:val="center"/>
              <w:rPr>
                <w:rFonts w:ascii="宋体" w:hAnsi="宋体"/>
                <w:kern w:val="0"/>
                <w:sz w:val="24"/>
              </w:rPr>
            </w:pPr>
            <w:r>
              <w:rPr>
                <w:rFonts w:hint="eastAsia" w:ascii="宋体" w:hAnsi="宋体"/>
                <w:kern w:val="0"/>
                <w:sz w:val="24"/>
              </w:rPr>
              <w:t>邀请 招标</w:t>
            </w:r>
          </w:p>
        </w:tc>
        <w:tc>
          <w:tcPr>
            <w:tcW w:w="851" w:type="dxa"/>
            <w:vMerge w:val="continue"/>
            <w:tcBorders>
              <w:top w:val="single" w:color="auto" w:sz="8" w:space="0"/>
              <w:left w:val="single" w:color="auto" w:sz="4" w:space="0"/>
              <w:bottom w:val="single" w:color="000000" w:sz="4" w:space="0"/>
              <w:right w:val="single" w:color="auto" w:sz="4" w:space="0"/>
            </w:tcBorders>
            <w:vAlign w:val="center"/>
          </w:tcPr>
          <w:p>
            <w:pPr>
              <w:widowControl/>
              <w:jc w:val="left"/>
              <w:rPr>
                <w:rFonts w:ascii="宋体" w:hAnsi="宋体"/>
                <w:kern w:val="0"/>
                <w:sz w:val="24"/>
              </w:rPr>
            </w:pPr>
          </w:p>
        </w:tc>
        <w:tc>
          <w:tcPr>
            <w:tcW w:w="1072" w:type="dxa"/>
            <w:vMerge w:val="continue"/>
            <w:tcBorders>
              <w:top w:val="single" w:color="auto" w:sz="8" w:space="0"/>
              <w:left w:val="single" w:color="auto" w:sz="4" w:space="0"/>
              <w:bottom w:val="single" w:color="000000" w:sz="4" w:space="0"/>
              <w:right w:val="single" w:color="auto" w:sz="4" w:space="0"/>
            </w:tcBorders>
            <w:vAlign w:val="center"/>
          </w:tcPr>
          <w:p>
            <w:pPr>
              <w:widowControl/>
              <w:jc w:val="left"/>
              <w:rPr>
                <w:rFonts w:ascii="宋体" w:hAnsi="宋体"/>
                <w:kern w:val="0"/>
                <w:sz w:val="24"/>
              </w:rPr>
            </w:pPr>
          </w:p>
        </w:tc>
        <w:tc>
          <w:tcPr>
            <w:tcW w:w="945" w:type="dxa"/>
            <w:vMerge w:val="continue"/>
            <w:tcBorders>
              <w:top w:val="single" w:color="auto" w:sz="8" w:space="0"/>
              <w:left w:val="single" w:color="auto" w:sz="4" w:space="0"/>
              <w:bottom w:val="single" w:color="auto" w:sz="4" w:space="0"/>
              <w:right w:val="single" w:color="auto" w:sz="8" w:space="0"/>
            </w:tcBorders>
            <w:vAlign w:val="center"/>
          </w:tcPr>
          <w:p>
            <w:pPr>
              <w:widowControl/>
              <w:jc w:val="left"/>
              <w:rPr>
                <w:rFonts w:ascii="宋体" w:hAnsi="宋体"/>
                <w:kern w:val="0"/>
                <w:sz w:val="24"/>
              </w:rPr>
            </w:pPr>
          </w:p>
        </w:tc>
      </w:tr>
      <w:tr>
        <w:tblPrEx>
          <w:tblCellMar>
            <w:top w:w="0" w:type="dxa"/>
            <w:left w:w="108" w:type="dxa"/>
            <w:bottom w:w="0" w:type="dxa"/>
            <w:right w:w="108" w:type="dxa"/>
          </w:tblCellMar>
        </w:tblPrEx>
        <w:trPr>
          <w:trHeight w:val="619" w:hRule="atLeast"/>
        </w:trPr>
        <w:tc>
          <w:tcPr>
            <w:tcW w:w="1050" w:type="dxa"/>
            <w:tcBorders>
              <w:top w:val="nil"/>
              <w:left w:val="single" w:color="auto" w:sz="8" w:space="0"/>
              <w:bottom w:val="single" w:color="auto" w:sz="4" w:space="0"/>
              <w:right w:val="single" w:color="auto" w:sz="4" w:space="0"/>
            </w:tcBorders>
            <w:vAlign w:val="center"/>
          </w:tcPr>
          <w:p>
            <w:pPr>
              <w:jc w:val="center"/>
              <w:rPr>
                <w:rFonts w:ascii="宋体" w:hAnsi="宋体"/>
                <w:kern w:val="0"/>
                <w:sz w:val="24"/>
              </w:rPr>
            </w:pPr>
            <w:r>
              <w:rPr>
                <w:rFonts w:hint="eastAsia" w:ascii="宋体" w:hAnsi="宋体"/>
                <w:kern w:val="0"/>
                <w:sz w:val="24"/>
              </w:rPr>
              <w:t>设计</w:t>
            </w:r>
          </w:p>
        </w:tc>
        <w:tc>
          <w:tcPr>
            <w:tcW w:w="817" w:type="dxa"/>
            <w:tcBorders>
              <w:top w:val="nil"/>
              <w:left w:val="nil"/>
              <w:bottom w:val="single" w:color="auto" w:sz="4" w:space="0"/>
              <w:right w:val="single" w:color="auto" w:sz="4" w:space="0"/>
            </w:tcBorders>
            <w:vAlign w:val="center"/>
          </w:tcPr>
          <w:p>
            <w:pPr>
              <w:widowControl/>
              <w:jc w:val="center"/>
              <w:rPr>
                <w:rFonts w:ascii="宋体" w:hAnsi="宋体"/>
                <w:b/>
                <w:kern w:val="0"/>
                <w:sz w:val="24"/>
              </w:rPr>
            </w:pPr>
          </w:p>
        </w:tc>
        <w:tc>
          <w:tcPr>
            <w:tcW w:w="817" w:type="dxa"/>
            <w:tcBorders>
              <w:top w:val="nil"/>
              <w:left w:val="nil"/>
              <w:bottom w:val="single" w:color="auto" w:sz="4" w:space="0"/>
              <w:right w:val="single" w:color="auto" w:sz="4" w:space="0"/>
            </w:tcBorders>
            <w:vAlign w:val="center"/>
          </w:tcPr>
          <w:p>
            <w:pPr>
              <w:widowControl/>
              <w:jc w:val="center"/>
              <w:rPr>
                <w:rFonts w:ascii="宋体" w:hAnsi="宋体"/>
                <w:b/>
                <w:kern w:val="0"/>
                <w:sz w:val="24"/>
              </w:rPr>
            </w:pPr>
          </w:p>
        </w:tc>
        <w:tc>
          <w:tcPr>
            <w:tcW w:w="817" w:type="dxa"/>
            <w:tcBorders>
              <w:top w:val="nil"/>
              <w:left w:val="nil"/>
              <w:bottom w:val="single" w:color="auto" w:sz="4" w:space="0"/>
              <w:right w:val="single" w:color="auto" w:sz="4" w:space="0"/>
            </w:tcBorders>
            <w:vAlign w:val="center"/>
          </w:tcPr>
          <w:p>
            <w:pPr>
              <w:widowControl/>
              <w:jc w:val="center"/>
              <w:rPr>
                <w:rFonts w:ascii="宋体" w:hAnsi="宋体"/>
                <w:b/>
                <w:kern w:val="0"/>
                <w:sz w:val="24"/>
              </w:rPr>
            </w:pPr>
          </w:p>
        </w:tc>
        <w:tc>
          <w:tcPr>
            <w:tcW w:w="817" w:type="dxa"/>
            <w:tcBorders>
              <w:top w:val="nil"/>
              <w:left w:val="nil"/>
              <w:bottom w:val="single" w:color="auto" w:sz="4" w:space="0"/>
              <w:right w:val="single" w:color="auto" w:sz="4" w:space="0"/>
            </w:tcBorders>
            <w:vAlign w:val="center"/>
          </w:tcPr>
          <w:p>
            <w:pPr>
              <w:widowControl/>
              <w:jc w:val="center"/>
              <w:rPr>
                <w:rFonts w:ascii="宋体" w:hAnsi="宋体"/>
                <w:b/>
                <w:kern w:val="0"/>
                <w:sz w:val="24"/>
              </w:rPr>
            </w:pPr>
          </w:p>
        </w:tc>
        <w:tc>
          <w:tcPr>
            <w:tcW w:w="817" w:type="dxa"/>
            <w:tcBorders>
              <w:top w:val="nil"/>
              <w:left w:val="nil"/>
              <w:bottom w:val="single" w:color="auto" w:sz="4" w:space="0"/>
              <w:right w:val="single" w:color="auto" w:sz="4" w:space="0"/>
            </w:tcBorders>
            <w:vAlign w:val="center"/>
          </w:tcPr>
          <w:p>
            <w:pPr>
              <w:widowControl/>
              <w:jc w:val="center"/>
              <w:rPr>
                <w:rFonts w:ascii="宋体" w:hAnsi="宋体"/>
                <w:b/>
                <w:kern w:val="0"/>
                <w:sz w:val="24"/>
              </w:rPr>
            </w:pPr>
          </w:p>
        </w:tc>
        <w:tc>
          <w:tcPr>
            <w:tcW w:w="817" w:type="dxa"/>
            <w:tcBorders>
              <w:top w:val="nil"/>
              <w:left w:val="nil"/>
              <w:bottom w:val="single" w:color="auto" w:sz="4" w:space="0"/>
              <w:right w:val="single" w:color="auto" w:sz="4" w:space="0"/>
            </w:tcBorders>
            <w:vAlign w:val="center"/>
          </w:tcPr>
          <w:p>
            <w:pPr>
              <w:widowControl/>
              <w:jc w:val="center"/>
              <w:rPr>
                <w:rFonts w:ascii="宋体" w:hAnsi="宋体"/>
                <w:kern w:val="0"/>
                <w:sz w:val="24"/>
              </w:rPr>
            </w:pPr>
          </w:p>
        </w:tc>
        <w:tc>
          <w:tcPr>
            <w:tcW w:w="851" w:type="dxa"/>
            <w:tcBorders>
              <w:top w:val="nil"/>
              <w:left w:val="nil"/>
              <w:bottom w:val="single" w:color="auto" w:sz="4" w:space="0"/>
              <w:right w:val="single" w:color="auto" w:sz="4" w:space="0"/>
            </w:tcBorders>
            <w:vAlign w:val="center"/>
          </w:tcPr>
          <w:p>
            <w:pPr>
              <w:widowControl/>
              <w:jc w:val="center"/>
              <w:rPr>
                <w:rFonts w:ascii="宋体" w:hAnsi="宋体"/>
                <w:kern w:val="0"/>
                <w:sz w:val="24"/>
              </w:rPr>
            </w:pPr>
          </w:p>
        </w:tc>
        <w:tc>
          <w:tcPr>
            <w:tcW w:w="1072" w:type="dxa"/>
            <w:tcBorders>
              <w:top w:val="nil"/>
              <w:left w:val="nil"/>
              <w:bottom w:val="single" w:color="auto" w:sz="4" w:space="0"/>
              <w:right w:val="single" w:color="auto" w:sz="4" w:space="0"/>
            </w:tcBorders>
            <w:vAlign w:val="center"/>
          </w:tcPr>
          <w:p>
            <w:pPr>
              <w:widowControl/>
              <w:jc w:val="center"/>
              <w:rPr>
                <w:rFonts w:ascii="宋体" w:hAnsi="宋体"/>
                <w:kern w:val="0"/>
                <w:sz w:val="24"/>
              </w:rPr>
            </w:pPr>
          </w:p>
        </w:tc>
        <w:tc>
          <w:tcPr>
            <w:tcW w:w="945" w:type="dxa"/>
            <w:tcBorders>
              <w:top w:val="nil"/>
              <w:left w:val="nil"/>
              <w:bottom w:val="single" w:color="auto" w:sz="4" w:space="0"/>
              <w:right w:val="single" w:color="auto" w:sz="8" w:space="0"/>
            </w:tcBorders>
            <w:vAlign w:val="center"/>
          </w:tcPr>
          <w:p>
            <w:pPr>
              <w:widowControl/>
              <w:jc w:val="center"/>
              <w:rPr>
                <w:rFonts w:ascii="宋体" w:hAnsi="宋体"/>
                <w:kern w:val="0"/>
                <w:sz w:val="24"/>
              </w:rPr>
            </w:pPr>
          </w:p>
        </w:tc>
      </w:tr>
      <w:tr>
        <w:tblPrEx>
          <w:tblCellMar>
            <w:top w:w="0" w:type="dxa"/>
            <w:left w:w="108" w:type="dxa"/>
            <w:bottom w:w="0" w:type="dxa"/>
            <w:right w:w="108" w:type="dxa"/>
          </w:tblCellMar>
        </w:tblPrEx>
        <w:trPr>
          <w:trHeight w:val="620" w:hRule="atLeast"/>
        </w:trPr>
        <w:tc>
          <w:tcPr>
            <w:tcW w:w="1050" w:type="dxa"/>
            <w:tcBorders>
              <w:top w:val="nil"/>
              <w:left w:val="single" w:color="auto" w:sz="8" w:space="0"/>
              <w:bottom w:val="single" w:color="auto" w:sz="4" w:space="0"/>
              <w:right w:val="single" w:color="auto" w:sz="4" w:space="0"/>
            </w:tcBorders>
            <w:vAlign w:val="center"/>
          </w:tcPr>
          <w:p>
            <w:pPr>
              <w:widowControl/>
              <w:jc w:val="center"/>
              <w:rPr>
                <w:rFonts w:ascii="宋体" w:hAnsi="宋体"/>
                <w:kern w:val="0"/>
                <w:sz w:val="24"/>
              </w:rPr>
            </w:pPr>
            <w:r>
              <w:rPr>
                <w:rFonts w:hint="eastAsia" w:ascii="宋体" w:hAnsi="宋体"/>
                <w:kern w:val="0"/>
                <w:sz w:val="24"/>
              </w:rPr>
              <w:t>建筑工程施工</w:t>
            </w:r>
          </w:p>
        </w:tc>
        <w:tc>
          <w:tcPr>
            <w:tcW w:w="817" w:type="dxa"/>
            <w:tcBorders>
              <w:top w:val="nil"/>
              <w:left w:val="nil"/>
              <w:bottom w:val="single" w:color="auto" w:sz="4" w:space="0"/>
              <w:right w:val="single" w:color="auto" w:sz="4" w:space="0"/>
            </w:tcBorders>
            <w:vAlign w:val="center"/>
          </w:tcPr>
          <w:p>
            <w:pPr>
              <w:widowControl/>
              <w:jc w:val="center"/>
              <w:rPr>
                <w:rFonts w:ascii="宋体" w:hAnsi="宋体"/>
                <w:b/>
                <w:kern w:val="0"/>
                <w:sz w:val="24"/>
              </w:rPr>
            </w:pPr>
            <w:r>
              <w:rPr>
                <w:rFonts w:hint="eastAsia" w:ascii="宋体" w:hAnsi="宋体"/>
                <w:b/>
                <w:kern w:val="0"/>
                <w:sz w:val="24"/>
              </w:rPr>
              <w:t>√</w:t>
            </w:r>
          </w:p>
        </w:tc>
        <w:tc>
          <w:tcPr>
            <w:tcW w:w="817" w:type="dxa"/>
            <w:tcBorders>
              <w:top w:val="nil"/>
              <w:left w:val="nil"/>
              <w:bottom w:val="single" w:color="auto" w:sz="4" w:space="0"/>
              <w:right w:val="single" w:color="auto" w:sz="4" w:space="0"/>
            </w:tcBorders>
            <w:vAlign w:val="center"/>
          </w:tcPr>
          <w:p>
            <w:pPr>
              <w:widowControl/>
              <w:jc w:val="center"/>
              <w:rPr>
                <w:rFonts w:ascii="宋体" w:hAnsi="宋体"/>
                <w:b/>
                <w:kern w:val="0"/>
                <w:sz w:val="24"/>
              </w:rPr>
            </w:pPr>
          </w:p>
        </w:tc>
        <w:tc>
          <w:tcPr>
            <w:tcW w:w="817" w:type="dxa"/>
            <w:tcBorders>
              <w:top w:val="nil"/>
              <w:left w:val="nil"/>
              <w:bottom w:val="single" w:color="auto" w:sz="4" w:space="0"/>
              <w:right w:val="single" w:color="auto" w:sz="4" w:space="0"/>
            </w:tcBorders>
            <w:vAlign w:val="center"/>
          </w:tcPr>
          <w:p>
            <w:pPr>
              <w:widowControl/>
              <w:jc w:val="center"/>
              <w:rPr>
                <w:rFonts w:ascii="宋体" w:hAnsi="宋体"/>
                <w:b/>
                <w:kern w:val="0"/>
                <w:sz w:val="24"/>
              </w:rPr>
            </w:pPr>
          </w:p>
        </w:tc>
        <w:tc>
          <w:tcPr>
            <w:tcW w:w="817" w:type="dxa"/>
            <w:tcBorders>
              <w:top w:val="nil"/>
              <w:left w:val="nil"/>
              <w:bottom w:val="single" w:color="auto" w:sz="4" w:space="0"/>
              <w:right w:val="single" w:color="auto" w:sz="4" w:space="0"/>
            </w:tcBorders>
            <w:vAlign w:val="center"/>
          </w:tcPr>
          <w:p>
            <w:pPr>
              <w:widowControl/>
              <w:jc w:val="center"/>
              <w:rPr>
                <w:rFonts w:ascii="宋体" w:hAnsi="宋体"/>
                <w:b/>
                <w:kern w:val="0"/>
                <w:sz w:val="24"/>
              </w:rPr>
            </w:pPr>
            <w:r>
              <w:rPr>
                <w:rFonts w:hint="eastAsia" w:ascii="宋体" w:hAnsi="宋体"/>
                <w:b/>
                <w:kern w:val="0"/>
                <w:sz w:val="24"/>
              </w:rPr>
              <w:t>√</w:t>
            </w:r>
          </w:p>
        </w:tc>
        <w:tc>
          <w:tcPr>
            <w:tcW w:w="817" w:type="dxa"/>
            <w:tcBorders>
              <w:top w:val="nil"/>
              <w:left w:val="nil"/>
              <w:bottom w:val="single" w:color="auto" w:sz="4" w:space="0"/>
              <w:right w:val="single" w:color="auto" w:sz="4" w:space="0"/>
            </w:tcBorders>
            <w:vAlign w:val="center"/>
          </w:tcPr>
          <w:p>
            <w:pPr>
              <w:widowControl/>
              <w:jc w:val="center"/>
              <w:rPr>
                <w:rFonts w:ascii="宋体" w:hAnsi="宋体"/>
                <w:b/>
                <w:kern w:val="0"/>
                <w:sz w:val="24"/>
              </w:rPr>
            </w:pPr>
            <w:r>
              <w:rPr>
                <w:rFonts w:hint="eastAsia" w:ascii="宋体" w:hAnsi="宋体"/>
                <w:b/>
                <w:kern w:val="0"/>
                <w:sz w:val="24"/>
              </w:rPr>
              <w:t>√</w:t>
            </w:r>
          </w:p>
        </w:tc>
        <w:tc>
          <w:tcPr>
            <w:tcW w:w="817" w:type="dxa"/>
            <w:tcBorders>
              <w:top w:val="nil"/>
              <w:left w:val="nil"/>
              <w:bottom w:val="single" w:color="auto" w:sz="4" w:space="0"/>
              <w:right w:val="single" w:color="auto" w:sz="4" w:space="0"/>
            </w:tcBorders>
            <w:vAlign w:val="center"/>
          </w:tcPr>
          <w:p>
            <w:pPr>
              <w:widowControl/>
              <w:jc w:val="center"/>
              <w:rPr>
                <w:rFonts w:ascii="宋体" w:hAnsi="宋体"/>
                <w:kern w:val="0"/>
                <w:sz w:val="24"/>
              </w:rPr>
            </w:pPr>
          </w:p>
        </w:tc>
        <w:tc>
          <w:tcPr>
            <w:tcW w:w="851" w:type="dxa"/>
            <w:tcBorders>
              <w:top w:val="nil"/>
              <w:left w:val="nil"/>
              <w:bottom w:val="single" w:color="auto" w:sz="4" w:space="0"/>
              <w:right w:val="single" w:color="auto" w:sz="4" w:space="0"/>
            </w:tcBorders>
            <w:vAlign w:val="center"/>
          </w:tcPr>
          <w:p>
            <w:pPr>
              <w:widowControl/>
              <w:jc w:val="center"/>
              <w:rPr>
                <w:rFonts w:ascii="宋体" w:hAnsi="宋体"/>
                <w:kern w:val="0"/>
                <w:sz w:val="24"/>
              </w:rPr>
            </w:pPr>
          </w:p>
        </w:tc>
        <w:tc>
          <w:tcPr>
            <w:tcW w:w="1072" w:type="dxa"/>
            <w:tcBorders>
              <w:top w:val="nil"/>
              <w:left w:val="nil"/>
              <w:bottom w:val="single" w:color="auto" w:sz="4" w:space="0"/>
              <w:right w:val="single" w:color="auto" w:sz="4" w:space="0"/>
            </w:tcBorders>
            <w:vAlign w:val="center"/>
          </w:tcPr>
          <w:p>
            <w:pPr>
              <w:widowControl/>
              <w:jc w:val="center"/>
              <w:rPr>
                <w:rFonts w:ascii="宋体" w:hAnsi="宋体"/>
                <w:kern w:val="0"/>
                <w:sz w:val="24"/>
              </w:rPr>
            </w:pPr>
          </w:p>
        </w:tc>
        <w:tc>
          <w:tcPr>
            <w:tcW w:w="945" w:type="dxa"/>
            <w:tcBorders>
              <w:top w:val="nil"/>
              <w:left w:val="nil"/>
              <w:bottom w:val="single" w:color="auto" w:sz="4" w:space="0"/>
              <w:right w:val="single" w:color="auto" w:sz="8" w:space="0"/>
            </w:tcBorders>
            <w:vAlign w:val="center"/>
          </w:tcPr>
          <w:p>
            <w:pPr>
              <w:widowControl/>
              <w:jc w:val="center"/>
              <w:rPr>
                <w:rFonts w:ascii="宋体" w:hAnsi="宋体"/>
                <w:kern w:val="0"/>
                <w:sz w:val="24"/>
              </w:rPr>
            </w:pPr>
          </w:p>
        </w:tc>
      </w:tr>
      <w:tr>
        <w:tblPrEx>
          <w:tblCellMar>
            <w:top w:w="0" w:type="dxa"/>
            <w:left w:w="108" w:type="dxa"/>
            <w:bottom w:w="0" w:type="dxa"/>
            <w:right w:w="108" w:type="dxa"/>
          </w:tblCellMar>
        </w:tblPrEx>
        <w:trPr>
          <w:trHeight w:val="619" w:hRule="atLeast"/>
        </w:trPr>
        <w:tc>
          <w:tcPr>
            <w:tcW w:w="1050" w:type="dxa"/>
            <w:tcBorders>
              <w:top w:val="nil"/>
              <w:left w:val="single" w:color="auto" w:sz="8" w:space="0"/>
              <w:bottom w:val="single" w:color="auto" w:sz="4" w:space="0"/>
              <w:right w:val="single" w:color="auto" w:sz="4" w:space="0"/>
            </w:tcBorders>
            <w:vAlign w:val="center"/>
          </w:tcPr>
          <w:p>
            <w:pPr>
              <w:jc w:val="center"/>
              <w:rPr>
                <w:rFonts w:ascii="宋体" w:hAnsi="宋体"/>
                <w:kern w:val="0"/>
                <w:sz w:val="24"/>
              </w:rPr>
            </w:pPr>
            <w:r>
              <w:rPr>
                <w:rFonts w:hint="eastAsia" w:ascii="宋体" w:hAnsi="宋体"/>
                <w:kern w:val="0"/>
                <w:sz w:val="24"/>
              </w:rPr>
              <w:t>监理</w:t>
            </w:r>
          </w:p>
        </w:tc>
        <w:tc>
          <w:tcPr>
            <w:tcW w:w="817" w:type="dxa"/>
            <w:tcBorders>
              <w:top w:val="nil"/>
              <w:left w:val="nil"/>
              <w:bottom w:val="single" w:color="auto" w:sz="4" w:space="0"/>
              <w:right w:val="single" w:color="auto" w:sz="4" w:space="0"/>
            </w:tcBorders>
            <w:vAlign w:val="center"/>
          </w:tcPr>
          <w:p>
            <w:pPr>
              <w:jc w:val="center"/>
              <w:rPr>
                <w:rFonts w:ascii="宋体" w:hAnsi="宋体"/>
                <w:b/>
                <w:kern w:val="0"/>
                <w:sz w:val="24"/>
              </w:rPr>
            </w:pPr>
          </w:p>
        </w:tc>
        <w:tc>
          <w:tcPr>
            <w:tcW w:w="817" w:type="dxa"/>
            <w:tcBorders>
              <w:top w:val="nil"/>
              <w:left w:val="nil"/>
              <w:bottom w:val="single" w:color="auto" w:sz="4" w:space="0"/>
              <w:right w:val="single" w:color="auto" w:sz="4" w:space="0"/>
            </w:tcBorders>
            <w:vAlign w:val="center"/>
          </w:tcPr>
          <w:p>
            <w:pPr>
              <w:jc w:val="center"/>
              <w:rPr>
                <w:rFonts w:ascii="宋体" w:hAnsi="宋体"/>
                <w:b/>
                <w:kern w:val="0"/>
                <w:sz w:val="24"/>
              </w:rPr>
            </w:pPr>
          </w:p>
        </w:tc>
        <w:tc>
          <w:tcPr>
            <w:tcW w:w="817" w:type="dxa"/>
            <w:tcBorders>
              <w:top w:val="nil"/>
              <w:left w:val="nil"/>
              <w:bottom w:val="single" w:color="auto" w:sz="4" w:space="0"/>
              <w:right w:val="single" w:color="auto" w:sz="4" w:space="0"/>
            </w:tcBorders>
            <w:vAlign w:val="center"/>
          </w:tcPr>
          <w:p>
            <w:pPr>
              <w:jc w:val="center"/>
              <w:rPr>
                <w:rFonts w:ascii="宋体" w:hAnsi="宋体"/>
                <w:b/>
                <w:kern w:val="0"/>
                <w:sz w:val="24"/>
              </w:rPr>
            </w:pPr>
          </w:p>
        </w:tc>
        <w:tc>
          <w:tcPr>
            <w:tcW w:w="817" w:type="dxa"/>
            <w:tcBorders>
              <w:top w:val="nil"/>
              <w:left w:val="nil"/>
              <w:bottom w:val="single" w:color="auto" w:sz="4" w:space="0"/>
              <w:right w:val="single" w:color="auto" w:sz="4" w:space="0"/>
            </w:tcBorders>
            <w:vAlign w:val="center"/>
          </w:tcPr>
          <w:p>
            <w:pPr>
              <w:jc w:val="center"/>
              <w:rPr>
                <w:rFonts w:ascii="宋体" w:hAnsi="宋体"/>
                <w:b/>
                <w:kern w:val="0"/>
                <w:sz w:val="24"/>
              </w:rPr>
            </w:pPr>
          </w:p>
        </w:tc>
        <w:tc>
          <w:tcPr>
            <w:tcW w:w="817" w:type="dxa"/>
            <w:tcBorders>
              <w:top w:val="nil"/>
              <w:left w:val="nil"/>
              <w:bottom w:val="single" w:color="auto" w:sz="4" w:space="0"/>
              <w:right w:val="single" w:color="auto" w:sz="4" w:space="0"/>
            </w:tcBorders>
            <w:vAlign w:val="center"/>
          </w:tcPr>
          <w:p>
            <w:pPr>
              <w:jc w:val="center"/>
              <w:rPr>
                <w:rFonts w:ascii="宋体" w:hAnsi="宋体"/>
                <w:b/>
                <w:kern w:val="0"/>
                <w:sz w:val="24"/>
              </w:rPr>
            </w:pPr>
          </w:p>
        </w:tc>
        <w:tc>
          <w:tcPr>
            <w:tcW w:w="817" w:type="dxa"/>
            <w:tcBorders>
              <w:top w:val="nil"/>
              <w:left w:val="nil"/>
              <w:bottom w:val="single" w:color="auto" w:sz="4" w:space="0"/>
              <w:right w:val="single" w:color="auto" w:sz="4" w:space="0"/>
            </w:tcBorders>
            <w:vAlign w:val="center"/>
          </w:tcPr>
          <w:p>
            <w:pPr>
              <w:jc w:val="center"/>
              <w:rPr>
                <w:rFonts w:ascii="宋体" w:hAnsi="宋体"/>
                <w:kern w:val="0"/>
                <w:sz w:val="24"/>
              </w:rPr>
            </w:pPr>
          </w:p>
        </w:tc>
        <w:tc>
          <w:tcPr>
            <w:tcW w:w="851" w:type="dxa"/>
            <w:tcBorders>
              <w:top w:val="nil"/>
              <w:left w:val="nil"/>
              <w:bottom w:val="single" w:color="auto" w:sz="4" w:space="0"/>
              <w:right w:val="single" w:color="auto" w:sz="4" w:space="0"/>
            </w:tcBorders>
            <w:vAlign w:val="center"/>
          </w:tcPr>
          <w:p>
            <w:pPr>
              <w:widowControl/>
              <w:jc w:val="center"/>
              <w:rPr>
                <w:rFonts w:ascii="宋体" w:hAnsi="宋体"/>
                <w:kern w:val="0"/>
                <w:sz w:val="24"/>
              </w:rPr>
            </w:pPr>
          </w:p>
        </w:tc>
        <w:tc>
          <w:tcPr>
            <w:tcW w:w="1072" w:type="dxa"/>
            <w:tcBorders>
              <w:top w:val="nil"/>
              <w:left w:val="nil"/>
              <w:bottom w:val="single" w:color="auto" w:sz="4" w:space="0"/>
              <w:right w:val="single" w:color="auto" w:sz="4" w:space="0"/>
            </w:tcBorders>
            <w:vAlign w:val="center"/>
          </w:tcPr>
          <w:p>
            <w:pPr>
              <w:jc w:val="center"/>
              <w:rPr>
                <w:rFonts w:ascii="宋体" w:hAnsi="宋体"/>
                <w:kern w:val="0"/>
                <w:sz w:val="24"/>
              </w:rPr>
            </w:pPr>
          </w:p>
        </w:tc>
        <w:tc>
          <w:tcPr>
            <w:tcW w:w="945" w:type="dxa"/>
            <w:tcBorders>
              <w:top w:val="nil"/>
              <w:left w:val="nil"/>
              <w:bottom w:val="single" w:color="auto" w:sz="4" w:space="0"/>
              <w:right w:val="single" w:color="auto" w:sz="8" w:space="0"/>
            </w:tcBorders>
            <w:vAlign w:val="center"/>
          </w:tcPr>
          <w:p>
            <w:pPr>
              <w:jc w:val="center"/>
              <w:rPr>
                <w:rFonts w:ascii="宋体" w:hAnsi="宋体"/>
                <w:kern w:val="0"/>
                <w:sz w:val="24"/>
              </w:rPr>
            </w:pPr>
          </w:p>
        </w:tc>
      </w:tr>
      <w:tr>
        <w:tblPrEx>
          <w:tblCellMar>
            <w:top w:w="0" w:type="dxa"/>
            <w:left w:w="108" w:type="dxa"/>
            <w:bottom w:w="0" w:type="dxa"/>
            <w:right w:w="108" w:type="dxa"/>
          </w:tblCellMar>
        </w:tblPrEx>
        <w:trPr>
          <w:trHeight w:val="620" w:hRule="atLeast"/>
        </w:trPr>
        <w:tc>
          <w:tcPr>
            <w:tcW w:w="1050"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kern w:val="0"/>
                <w:sz w:val="24"/>
              </w:rPr>
            </w:pPr>
            <w:r>
              <w:rPr>
                <w:rFonts w:hint="eastAsia" w:ascii="宋体" w:hAnsi="宋体"/>
                <w:kern w:val="0"/>
                <w:sz w:val="24"/>
              </w:rPr>
              <w:t>材料</w:t>
            </w:r>
          </w:p>
          <w:p>
            <w:pPr>
              <w:jc w:val="center"/>
              <w:rPr>
                <w:rFonts w:ascii="宋体" w:hAnsi="宋体"/>
                <w:kern w:val="0"/>
                <w:sz w:val="24"/>
              </w:rPr>
            </w:pPr>
            <w:r>
              <w:rPr>
                <w:rFonts w:hint="eastAsia" w:ascii="宋体" w:hAnsi="宋体"/>
                <w:kern w:val="0"/>
                <w:sz w:val="24"/>
              </w:rPr>
              <w:t>设备</w:t>
            </w:r>
          </w:p>
        </w:tc>
        <w:tc>
          <w:tcPr>
            <w:tcW w:w="817" w:type="dxa"/>
            <w:tcBorders>
              <w:top w:val="single" w:color="auto" w:sz="4" w:space="0"/>
              <w:left w:val="nil"/>
              <w:bottom w:val="single" w:color="auto" w:sz="4" w:space="0"/>
              <w:right w:val="single" w:color="auto" w:sz="4" w:space="0"/>
            </w:tcBorders>
            <w:vAlign w:val="center"/>
          </w:tcPr>
          <w:p>
            <w:pPr>
              <w:jc w:val="center"/>
              <w:rPr>
                <w:rFonts w:ascii="宋体" w:hAnsi="宋体"/>
                <w:b/>
                <w:kern w:val="0"/>
                <w:sz w:val="24"/>
              </w:rPr>
            </w:pPr>
            <w:r>
              <w:rPr>
                <w:rFonts w:hint="eastAsia" w:ascii="宋体" w:hAnsi="宋体"/>
                <w:b/>
                <w:kern w:val="0"/>
                <w:sz w:val="24"/>
              </w:rPr>
              <w:t>√</w:t>
            </w:r>
          </w:p>
        </w:tc>
        <w:tc>
          <w:tcPr>
            <w:tcW w:w="817" w:type="dxa"/>
            <w:tcBorders>
              <w:top w:val="single" w:color="auto" w:sz="4" w:space="0"/>
              <w:left w:val="nil"/>
              <w:bottom w:val="single" w:color="auto" w:sz="4" w:space="0"/>
              <w:right w:val="single" w:color="auto" w:sz="4" w:space="0"/>
            </w:tcBorders>
            <w:vAlign w:val="center"/>
          </w:tcPr>
          <w:p>
            <w:pPr>
              <w:jc w:val="center"/>
              <w:rPr>
                <w:rFonts w:ascii="宋体" w:hAnsi="宋体"/>
                <w:b/>
                <w:kern w:val="0"/>
                <w:sz w:val="24"/>
              </w:rPr>
            </w:pPr>
          </w:p>
        </w:tc>
        <w:tc>
          <w:tcPr>
            <w:tcW w:w="817" w:type="dxa"/>
            <w:tcBorders>
              <w:top w:val="single" w:color="auto" w:sz="4" w:space="0"/>
              <w:left w:val="nil"/>
              <w:bottom w:val="single" w:color="auto" w:sz="4" w:space="0"/>
              <w:right w:val="single" w:color="auto" w:sz="4" w:space="0"/>
            </w:tcBorders>
            <w:vAlign w:val="center"/>
          </w:tcPr>
          <w:p>
            <w:pPr>
              <w:jc w:val="center"/>
              <w:rPr>
                <w:rFonts w:ascii="宋体" w:hAnsi="宋体"/>
                <w:b/>
                <w:kern w:val="0"/>
                <w:sz w:val="24"/>
              </w:rPr>
            </w:pPr>
          </w:p>
        </w:tc>
        <w:tc>
          <w:tcPr>
            <w:tcW w:w="817" w:type="dxa"/>
            <w:tcBorders>
              <w:top w:val="single" w:color="auto" w:sz="4" w:space="0"/>
              <w:left w:val="nil"/>
              <w:bottom w:val="single" w:color="auto" w:sz="4" w:space="0"/>
              <w:right w:val="single" w:color="auto" w:sz="4" w:space="0"/>
            </w:tcBorders>
            <w:vAlign w:val="center"/>
          </w:tcPr>
          <w:p>
            <w:pPr>
              <w:jc w:val="center"/>
              <w:rPr>
                <w:rFonts w:ascii="宋体" w:hAnsi="宋体"/>
                <w:b/>
                <w:kern w:val="0"/>
                <w:sz w:val="24"/>
              </w:rPr>
            </w:pPr>
            <w:r>
              <w:rPr>
                <w:rFonts w:hint="eastAsia" w:ascii="宋体" w:hAnsi="宋体"/>
                <w:b/>
                <w:kern w:val="0"/>
                <w:sz w:val="24"/>
              </w:rPr>
              <w:t>√</w:t>
            </w:r>
          </w:p>
        </w:tc>
        <w:tc>
          <w:tcPr>
            <w:tcW w:w="817" w:type="dxa"/>
            <w:tcBorders>
              <w:top w:val="single" w:color="auto" w:sz="4" w:space="0"/>
              <w:left w:val="nil"/>
              <w:bottom w:val="single" w:color="auto" w:sz="4" w:space="0"/>
              <w:right w:val="single" w:color="auto" w:sz="4" w:space="0"/>
            </w:tcBorders>
            <w:vAlign w:val="center"/>
          </w:tcPr>
          <w:p>
            <w:pPr>
              <w:jc w:val="center"/>
              <w:rPr>
                <w:rFonts w:ascii="宋体" w:hAnsi="宋体"/>
                <w:b/>
                <w:kern w:val="0"/>
                <w:sz w:val="24"/>
              </w:rPr>
            </w:pPr>
            <w:r>
              <w:rPr>
                <w:rFonts w:hint="eastAsia" w:ascii="宋体" w:hAnsi="宋体"/>
                <w:b/>
                <w:kern w:val="0"/>
                <w:sz w:val="24"/>
              </w:rPr>
              <w:t>√</w:t>
            </w:r>
          </w:p>
        </w:tc>
        <w:tc>
          <w:tcPr>
            <w:tcW w:w="817" w:type="dxa"/>
            <w:tcBorders>
              <w:top w:val="single" w:color="auto" w:sz="4" w:space="0"/>
              <w:left w:val="nil"/>
              <w:bottom w:val="single" w:color="auto" w:sz="4" w:space="0"/>
              <w:right w:val="single" w:color="auto" w:sz="4" w:space="0"/>
            </w:tcBorders>
            <w:vAlign w:val="center"/>
          </w:tcPr>
          <w:p>
            <w:pPr>
              <w:jc w:val="center"/>
              <w:rPr>
                <w:rFonts w:ascii="宋体" w:hAnsi="宋体"/>
                <w:kern w:val="0"/>
                <w:sz w:val="24"/>
              </w:rPr>
            </w:pPr>
          </w:p>
        </w:tc>
        <w:tc>
          <w:tcPr>
            <w:tcW w:w="851" w:type="dxa"/>
            <w:tcBorders>
              <w:top w:val="single" w:color="auto" w:sz="4" w:space="0"/>
              <w:left w:val="nil"/>
              <w:bottom w:val="single" w:color="auto" w:sz="4" w:space="0"/>
              <w:right w:val="single" w:color="auto" w:sz="4" w:space="0"/>
            </w:tcBorders>
            <w:vAlign w:val="center"/>
          </w:tcPr>
          <w:p>
            <w:pPr>
              <w:jc w:val="center"/>
              <w:rPr>
                <w:rFonts w:ascii="宋体" w:hAnsi="宋体"/>
                <w:kern w:val="0"/>
                <w:sz w:val="24"/>
              </w:rPr>
            </w:pPr>
          </w:p>
        </w:tc>
        <w:tc>
          <w:tcPr>
            <w:tcW w:w="1072" w:type="dxa"/>
            <w:tcBorders>
              <w:top w:val="single" w:color="auto" w:sz="4" w:space="0"/>
              <w:left w:val="nil"/>
              <w:bottom w:val="single" w:color="auto" w:sz="4" w:space="0"/>
              <w:right w:val="single" w:color="auto" w:sz="4" w:space="0"/>
            </w:tcBorders>
            <w:vAlign w:val="center"/>
          </w:tcPr>
          <w:p>
            <w:pPr>
              <w:jc w:val="center"/>
              <w:rPr>
                <w:rFonts w:ascii="宋体" w:hAnsi="宋体"/>
                <w:kern w:val="0"/>
                <w:sz w:val="24"/>
              </w:rPr>
            </w:pPr>
          </w:p>
        </w:tc>
        <w:tc>
          <w:tcPr>
            <w:tcW w:w="945" w:type="dxa"/>
            <w:tcBorders>
              <w:top w:val="single" w:color="auto" w:sz="4" w:space="0"/>
              <w:left w:val="nil"/>
              <w:bottom w:val="single" w:color="auto" w:sz="4" w:space="0"/>
              <w:right w:val="single" w:color="auto" w:sz="4" w:space="0"/>
            </w:tcBorders>
            <w:vAlign w:val="center"/>
          </w:tcPr>
          <w:p>
            <w:pPr>
              <w:jc w:val="center"/>
              <w:rPr>
                <w:rFonts w:ascii="宋体" w:hAnsi="宋体"/>
                <w:kern w:val="0"/>
                <w:sz w:val="24"/>
              </w:rPr>
            </w:pPr>
          </w:p>
        </w:tc>
      </w:tr>
      <w:tr>
        <w:tblPrEx>
          <w:tblCellMar>
            <w:top w:w="0" w:type="dxa"/>
            <w:left w:w="108" w:type="dxa"/>
            <w:bottom w:w="0" w:type="dxa"/>
            <w:right w:w="108" w:type="dxa"/>
          </w:tblCellMar>
        </w:tblPrEx>
        <w:trPr>
          <w:trHeight w:val="502" w:hRule="atLeast"/>
        </w:trPr>
        <w:tc>
          <w:tcPr>
            <w:tcW w:w="8820" w:type="dxa"/>
            <w:gridSpan w:val="10"/>
            <w:tcBorders>
              <w:top w:val="single" w:color="auto" w:sz="4" w:space="0"/>
              <w:left w:val="single" w:color="auto" w:sz="4" w:space="0"/>
              <w:bottom w:val="single" w:color="auto" w:sz="4" w:space="0"/>
              <w:right w:val="single" w:color="auto" w:sz="4" w:space="0"/>
            </w:tcBorders>
            <w:vAlign w:val="center"/>
          </w:tcPr>
          <w:p>
            <w:pPr>
              <w:rPr>
                <w:rFonts w:ascii="宋体" w:hAnsi="宋体"/>
                <w:kern w:val="0"/>
                <w:sz w:val="24"/>
              </w:rPr>
            </w:pPr>
            <w:r>
              <w:rPr>
                <w:rFonts w:hint="eastAsia" w:ascii="宋体" w:hAnsi="宋体"/>
                <w:kern w:val="0"/>
                <w:sz w:val="24"/>
              </w:rPr>
              <w:t>情况说明：表中打</w:t>
            </w:r>
            <w:r>
              <w:rPr>
                <w:rFonts w:hint="eastAsia" w:ascii="宋体" w:hAnsi="宋体"/>
                <w:b/>
                <w:kern w:val="0"/>
                <w:sz w:val="24"/>
              </w:rPr>
              <w:t>√</w:t>
            </w:r>
            <w:r>
              <w:rPr>
                <w:rFonts w:hint="eastAsia" w:ascii="宋体" w:hAnsi="宋体"/>
                <w:kern w:val="0"/>
                <w:sz w:val="24"/>
              </w:rPr>
              <w:t>者表示采用的招标范围、形式、方式等</w:t>
            </w:r>
          </w:p>
        </w:tc>
      </w:tr>
      <w:tr>
        <w:tblPrEx>
          <w:tblCellMar>
            <w:top w:w="0" w:type="dxa"/>
            <w:left w:w="108" w:type="dxa"/>
            <w:bottom w:w="0" w:type="dxa"/>
            <w:right w:w="108" w:type="dxa"/>
          </w:tblCellMar>
        </w:tblPrEx>
        <w:trPr>
          <w:trHeight w:val="2155" w:hRule="atLeast"/>
        </w:trPr>
        <w:tc>
          <w:tcPr>
            <w:tcW w:w="8820" w:type="dxa"/>
            <w:gridSpan w:val="10"/>
            <w:tcBorders>
              <w:top w:val="single" w:color="auto" w:sz="4" w:space="0"/>
              <w:left w:val="single" w:color="auto" w:sz="4" w:space="0"/>
              <w:bottom w:val="single" w:color="auto" w:sz="4" w:space="0"/>
              <w:right w:val="single" w:color="auto" w:sz="4" w:space="0"/>
            </w:tcBorders>
          </w:tcPr>
          <w:p>
            <w:pPr>
              <w:rPr>
                <w:rFonts w:ascii="宋体" w:hAnsi="宋体"/>
                <w:kern w:val="0"/>
                <w:sz w:val="24"/>
              </w:rPr>
            </w:pPr>
          </w:p>
          <w:p>
            <w:pPr>
              <w:rPr>
                <w:rFonts w:ascii="宋体" w:hAnsi="宋体"/>
                <w:kern w:val="0"/>
                <w:sz w:val="24"/>
              </w:rPr>
            </w:pPr>
          </w:p>
          <w:p>
            <w:pPr>
              <w:ind w:firstLine="5192" w:firstLineChars="2200"/>
              <w:rPr>
                <w:rFonts w:ascii="宋体" w:hAnsi="宋体"/>
                <w:kern w:val="0"/>
                <w:sz w:val="24"/>
              </w:rPr>
            </w:pPr>
            <w:r>
              <w:rPr>
                <w:rFonts w:hint="eastAsia" w:ascii="宋体" w:hAnsi="宋体"/>
                <w:kern w:val="0"/>
                <w:sz w:val="24"/>
              </w:rPr>
              <w:t>建设单位盖章</w:t>
            </w:r>
          </w:p>
          <w:p>
            <w:pPr>
              <w:rPr>
                <w:rFonts w:ascii="宋体" w:hAnsi="宋体"/>
                <w:kern w:val="0"/>
                <w:sz w:val="24"/>
              </w:rPr>
            </w:pPr>
          </w:p>
          <w:p>
            <w:pPr>
              <w:ind w:firstLine="5428" w:firstLineChars="2300"/>
              <w:rPr>
                <w:rFonts w:ascii="宋体" w:hAnsi="宋体"/>
                <w:kern w:val="0"/>
                <w:sz w:val="24"/>
              </w:rPr>
            </w:pPr>
            <w:r>
              <w:rPr>
                <w:rFonts w:hint="eastAsia" w:ascii="宋体" w:hAnsi="宋体"/>
                <w:kern w:val="0"/>
                <w:sz w:val="24"/>
              </w:rPr>
              <w:t>年   月   日</w:t>
            </w:r>
          </w:p>
        </w:tc>
      </w:tr>
    </w:tbl>
    <w:p>
      <w:bookmarkStart w:id="1154" w:name="_Toc1203_WPSOffice_Level1"/>
      <w:bookmarkStart w:id="1155" w:name="_Toc6507_WPSOffice_Level1"/>
      <w:bookmarkStart w:id="1156" w:name="_Toc9807_WPSOffice_Level1"/>
      <w:bookmarkStart w:id="1157" w:name="_Toc32198_WPSOffice_Level1"/>
      <w:bookmarkStart w:id="1158" w:name="_Toc17001_WPSOffice_Level1"/>
      <w:bookmarkStart w:id="1159" w:name="_Toc5976_WPSOffice_Level1"/>
    </w:p>
    <w:p/>
    <w:p>
      <w:pPr>
        <w:pStyle w:val="3"/>
        <w:spacing w:beforeLines="100" w:afterLines="100" w:line="578" w:lineRule="exact"/>
        <w:jc w:val="center"/>
        <w:rPr>
          <w:rFonts w:ascii="宋体" w:hAnsi="宋体" w:eastAsia="宋体" w:cs="宋体"/>
          <w:sz w:val="36"/>
          <w:szCs w:val="36"/>
        </w:rPr>
      </w:pPr>
      <w:bookmarkStart w:id="1160" w:name="_Toc13222_WPSOffice_Level1"/>
      <w:r>
        <w:rPr>
          <w:rFonts w:hint="eastAsia" w:ascii="宋体" w:hAnsi="宋体" w:eastAsia="宋体" w:cs="宋体"/>
          <w:sz w:val="36"/>
          <w:szCs w:val="36"/>
        </w:rPr>
        <w:t>第十二章  投资估算、收益估算及资金筹措</w:t>
      </w:r>
      <w:bookmarkEnd w:id="1154"/>
      <w:bookmarkEnd w:id="1155"/>
      <w:bookmarkEnd w:id="1156"/>
      <w:bookmarkEnd w:id="1157"/>
      <w:bookmarkEnd w:id="1158"/>
      <w:bookmarkEnd w:id="1159"/>
      <w:bookmarkEnd w:id="1160"/>
      <w:r>
        <w:rPr>
          <w:rFonts w:hint="eastAsia" w:ascii="宋体" w:hAnsi="宋体" w:eastAsia="宋体" w:cs="宋体"/>
          <w:sz w:val="36"/>
          <w:szCs w:val="36"/>
        </w:rPr>
        <w:t xml:space="preserve"> </w:t>
      </w:r>
    </w:p>
    <w:p>
      <w:pPr>
        <w:pStyle w:val="4"/>
        <w:spacing w:before="0" w:after="0" w:line="360" w:lineRule="auto"/>
        <w:ind w:firstLine="632" w:firstLineChars="200"/>
        <w:rPr>
          <w:rFonts w:ascii="黑体" w:hAnsi="黑体"/>
          <w:b w:val="0"/>
          <w:bCs/>
          <w:szCs w:val="32"/>
        </w:rPr>
      </w:pPr>
      <w:bookmarkStart w:id="1161" w:name="_Toc1652_WPSOffice_Level2"/>
      <w:bookmarkStart w:id="1162" w:name="_Toc3323_WPSOffice_Level2"/>
      <w:bookmarkStart w:id="1163" w:name="_Toc31173_WPSOffice_Level2"/>
      <w:bookmarkStart w:id="1164" w:name="_Toc14424_WPSOffice_Level2"/>
      <w:bookmarkStart w:id="1165" w:name="_Toc30099_WPSOffice_Level2"/>
      <w:bookmarkStart w:id="1166" w:name="_Toc23709_WPSOffice_Level2"/>
      <w:bookmarkStart w:id="1167" w:name="_Toc20106_WPSOffice_Level2"/>
      <w:r>
        <w:rPr>
          <w:rFonts w:hint="eastAsia" w:ascii="黑体" w:hAnsi="黑体"/>
          <w:b w:val="0"/>
          <w:bCs/>
          <w:szCs w:val="32"/>
        </w:rPr>
        <w:t>12.1 编制依据</w:t>
      </w:r>
      <w:bookmarkEnd w:id="1161"/>
      <w:bookmarkEnd w:id="1162"/>
      <w:bookmarkEnd w:id="1163"/>
      <w:bookmarkEnd w:id="1164"/>
      <w:bookmarkEnd w:id="1165"/>
      <w:bookmarkEnd w:id="1166"/>
      <w:bookmarkEnd w:id="1167"/>
    </w:p>
    <w:p>
      <w:pPr>
        <w:spacing w:line="578" w:lineRule="exact"/>
        <w:ind w:firstLine="632" w:firstLineChars="200"/>
        <w:rPr>
          <w:rFonts w:ascii="仿宋_GB2312" w:hAnsi="仿宋_GB2312" w:eastAsia="仿宋_GB2312" w:cs="仿宋_GB2312"/>
          <w:sz w:val="32"/>
          <w:szCs w:val="32"/>
        </w:rPr>
      </w:pPr>
      <w:bookmarkStart w:id="1168" w:name="_Toc30176_WPSOffice_Level3"/>
      <w:bookmarkStart w:id="1169" w:name="_Toc25783_WPSOffice_Level3"/>
      <w:bookmarkStart w:id="1170" w:name="_Toc329643513"/>
      <w:bookmarkStart w:id="1171" w:name="_Toc3903_WPSOffice_Level3"/>
      <w:bookmarkStart w:id="1172" w:name="_Toc21187_WPSOffice_Level3"/>
      <w:bookmarkStart w:id="1173" w:name="_Toc20668_WPSOffice_Level3"/>
      <w:bookmarkStart w:id="1174" w:name="_Toc17984_WPSOffice_Level3"/>
      <w:bookmarkStart w:id="1175" w:name="_Toc329540531"/>
      <w:r>
        <w:rPr>
          <w:rFonts w:hint="eastAsia" w:ascii="仿宋_GB2312" w:hAnsi="仿宋_GB2312" w:eastAsia="仿宋_GB2312" w:cs="仿宋_GB2312"/>
          <w:sz w:val="32"/>
          <w:szCs w:val="32"/>
        </w:rPr>
        <w:t>12.1.1垃圾分类处理方案；</w:t>
      </w:r>
      <w:bookmarkEnd w:id="1168"/>
      <w:bookmarkEnd w:id="1169"/>
      <w:bookmarkEnd w:id="1170"/>
      <w:bookmarkEnd w:id="1171"/>
      <w:bookmarkEnd w:id="1172"/>
      <w:bookmarkEnd w:id="1173"/>
      <w:bookmarkEnd w:id="1174"/>
      <w:bookmarkEnd w:id="1175"/>
    </w:p>
    <w:p>
      <w:pPr>
        <w:spacing w:line="578" w:lineRule="exact"/>
        <w:ind w:firstLine="632" w:firstLineChars="200"/>
        <w:rPr>
          <w:rFonts w:ascii="仿宋_GB2312" w:hAnsi="仿宋_GB2312" w:eastAsia="仿宋_GB2312" w:cs="仿宋_GB2312"/>
          <w:sz w:val="32"/>
          <w:szCs w:val="32"/>
        </w:rPr>
      </w:pPr>
      <w:bookmarkStart w:id="1176" w:name="_Toc19643_WPSOffice_Level3"/>
      <w:bookmarkStart w:id="1177" w:name="_Toc17330_WPSOffice_Level3"/>
      <w:bookmarkStart w:id="1178" w:name="_Toc31125_WPSOffice_Level3"/>
      <w:bookmarkStart w:id="1179" w:name="_Toc1512_WPSOffice_Level3"/>
      <w:bookmarkStart w:id="1180" w:name="_Toc4101_WPSOffice_Level3"/>
      <w:r>
        <w:rPr>
          <w:rFonts w:hint="eastAsia" w:ascii="仿宋_GB2312" w:hAnsi="仿宋_GB2312" w:eastAsia="仿宋_GB2312" w:cs="仿宋_GB2312"/>
          <w:sz w:val="32"/>
          <w:szCs w:val="32"/>
        </w:rPr>
        <w:t>12.1.2设备市场价格；</w:t>
      </w:r>
      <w:bookmarkEnd w:id="1176"/>
      <w:bookmarkEnd w:id="1177"/>
      <w:bookmarkEnd w:id="1178"/>
      <w:bookmarkEnd w:id="1179"/>
      <w:bookmarkEnd w:id="1180"/>
    </w:p>
    <w:p>
      <w:pPr>
        <w:spacing w:line="578" w:lineRule="exact"/>
        <w:ind w:firstLine="632" w:firstLineChars="200"/>
        <w:rPr>
          <w:rFonts w:ascii="仿宋_GB2312" w:hAnsi="仿宋_GB2312" w:eastAsia="仿宋_GB2312" w:cs="仿宋_GB2312"/>
          <w:sz w:val="32"/>
          <w:szCs w:val="32"/>
        </w:rPr>
      </w:pPr>
      <w:bookmarkStart w:id="1181" w:name="_Toc329540532"/>
      <w:bookmarkStart w:id="1182" w:name="_Toc329643514"/>
      <w:bookmarkStart w:id="1183" w:name="_Toc2008_WPSOffice_Level3"/>
      <w:bookmarkStart w:id="1184" w:name="_Toc25746_WPSOffice_Level3"/>
      <w:bookmarkStart w:id="1185" w:name="_Toc17334_WPSOffice_Level3"/>
      <w:bookmarkStart w:id="1186" w:name="_Toc5339_WPSOffice_Level3"/>
      <w:bookmarkStart w:id="1187" w:name="_Toc23605_WPSOffice_Level3"/>
      <w:r>
        <w:rPr>
          <w:rFonts w:hint="eastAsia" w:ascii="仿宋_GB2312" w:hAnsi="仿宋_GB2312" w:eastAsia="仿宋_GB2312" w:cs="仿宋_GB2312"/>
          <w:bCs/>
          <w:kern w:val="0"/>
          <w:sz w:val="32"/>
          <w:szCs w:val="32"/>
        </w:rPr>
        <w:t>12.1.3</w:t>
      </w:r>
      <w:bookmarkEnd w:id="1181"/>
      <w:bookmarkEnd w:id="1182"/>
      <w:r>
        <w:rPr>
          <w:rFonts w:hint="eastAsia" w:ascii="仿宋_GB2312" w:hAnsi="仿宋_GB2312" w:eastAsia="仿宋_GB2312" w:cs="仿宋_GB2312"/>
          <w:bCs/>
          <w:kern w:val="0"/>
          <w:sz w:val="32"/>
          <w:szCs w:val="32"/>
        </w:rPr>
        <w:t xml:space="preserve"> 2015年甘肃省建筑安装工程概算定额及相关预算定</w:t>
      </w:r>
      <w:r>
        <w:rPr>
          <w:rFonts w:hint="eastAsia" w:ascii="仿宋_GB2312" w:hAnsi="仿宋_GB2312" w:eastAsia="仿宋_GB2312" w:cs="仿宋_GB2312"/>
          <w:sz w:val="32"/>
          <w:szCs w:val="32"/>
        </w:rPr>
        <w:t>额；</w:t>
      </w:r>
      <w:bookmarkEnd w:id="1183"/>
      <w:bookmarkEnd w:id="1184"/>
      <w:bookmarkEnd w:id="1185"/>
      <w:bookmarkEnd w:id="1186"/>
      <w:bookmarkEnd w:id="1187"/>
    </w:p>
    <w:p>
      <w:pPr>
        <w:spacing w:line="578" w:lineRule="exact"/>
        <w:ind w:firstLine="632" w:firstLineChars="200"/>
        <w:rPr>
          <w:rFonts w:ascii="仿宋_GB2312" w:hAnsi="仿宋_GB2312" w:eastAsia="仿宋_GB2312" w:cs="仿宋_GB2312"/>
          <w:sz w:val="32"/>
          <w:szCs w:val="32"/>
        </w:rPr>
      </w:pPr>
      <w:bookmarkStart w:id="1188" w:name="_Toc329643515"/>
      <w:bookmarkStart w:id="1189" w:name="_Toc10115_WPSOffice_Level3"/>
      <w:bookmarkStart w:id="1190" w:name="_Toc16526_WPSOffice_Level3"/>
      <w:bookmarkStart w:id="1191" w:name="_Toc24967_WPSOffice_Level3"/>
      <w:bookmarkStart w:id="1192" w:name="_Toc28362_WPSOffice_Level3"/>
      <w:bookmarkStart w:id="1193" w:name="_Toc26612_WPSOffice_Level3"/>
      <w:bookmarkStart w:id="1194" w:name="_Toc329540533"/>
      <w:r>
        <w:rPr>
          <w:rFonts w:hint="eastAsia" w:ascii="仿宋_GB2312" w:hAnsi="仿宋_GB2312" w:eastAsia="仿宋_GB2312" w:cs="仿宋_GB2312"/>
          <w:sz w:val="32"/>
          <w:szCs w:val="32"/>
        </w:rPr>
        <w:t>12.1.4甘肃省现行费用定额</w:t>
      </w:r>
      <w:bookmarkEnd w:id="1188"/>
      <w:r>
        <w:rPr>
          <w:rFonts w:hint="eastAsia" w:ascii="仿宋_GB2312" w:hAnsi="仿宋_GB2312" w:eastAsia="仿宋_GB2312" w:cs="仿宋_GB2312"/>
          <w:sz w:val="32"/>
          <w:szCs w:val="32"/>
        </w:rPr>
        <w:t>；</w:t>
      </w:r>
      <w:bookmarkEnd w:id="1189"/>
      <w:bookmarkEnd w:id="1190"/>
      <w:bookmarkEnd w:id="1191"/>
      <w:bookmarkEnd w:id="1192"/>
      <w:bookmarkEnd w:id="1193"/>
    </w:p>
    <w:p>
      <w:pPr>
        <w:pStyle w:val="2"/>
        <w:numPr>
          <w:ilvl w:val="3"/>
          <w:numId w:val="0"/>
        </w:numPr>
        <w:spacing w:line="578" w:lineRule="exact"/>
        <w:ind w:firstLine="632" w:firstLineChars="200"/>
        <w:rPr>
          <w:rFonts w:ascii="仿宋_GB2312" w:hAnsi="仿宋_GB2312" w:eastAsia="仿宋_GB2312" w:cs="仿宋_GB2312"/>
          <w:b w:val="0"/>
          <w:bCs/>
          <w:sz w:val="32"/>
          <w:szCs w:val="32"/>
          <w:lang w:val="en-US"/>
        </w:rPr>
      </w:pPr>
      <w:r>
        <w:rPr>
          <w:rFonts w:hint="eastAsia" w:ascii="仿宋_GB2312" w:hAnsi="仿宋_GB2312" w:eastAsia="仿宋_GB2312" w:cs="仿宋_GB2312"/>
          <w:b w:val="0"/>
          <w:bCs/>
          <w:sz w:val="32"/>
          <w:szCs w:val="32"/>
          <w:lang w:val="en-US"/>
        </w:rPr>
        <w:t>12.1.5建设单位管理费依据财政部建【2016】504号文和财建[2002]394号《基本建设财务管理规定》。</w:t>
      </w:r>
    </w:p>
    <w:p>
      <w:pPr>
        <w:spacing w:line="578" w:lineRule="exact"/>
        <w:ind w:firstLine="632"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12.1.6工程监理费参考国家发展和改革委、建设部关于印发《建设工程监理与相关服务收费管理规定》的通知，发改价格【2007】670号计取。</w:t>
      </w:r>
    </w:p>
    <w:p>
      <w:pPr>
        <w:pStyle w:val="2"/>
        <w:numPr>
          <w:ilvl w:val="3"/>
          <w:numId w:val="0"/>
        </w:numPr>
        <w:spacing w:line="578" w:lineRule="exact"/>
        <w:ind w:firstLine="632" w:firstLineChars="200"/>
        <w:rPr>
          <w:rFonts w:ascii="仿宋_GB2312" w:hAnsi="仿宋_GB2312" w:eastAsia="仿宋_GB2312" w:cs="仿宋_GB2312"/>
          <w:b w:val="0"/>
          <w:bCs/>
          <w:sz w:val="32"/>
          <w:szCs w:val="32"/>
          <w:lang w:val="en-US"/>
        </w:rPr>
      </w:pPr>
      <w:r>
        <w:rPr>
          <w:rFonts w:hint="eastAsia" w:ascii="仿宋_GB2312" w:hAnsi="仿宋_GB2312" w:eastAsia="仿宋_GB2312" w:cs="仿宋_GB2312"/>
          <w:b w:val="0"/>
          <w:bCs/>
          <w:sz w:val="32"/>
          <w:szCs w:val="32"/>
          <w:lang w:val="en-US"/>
        </w:rPr>
        <w:t>12.1.7勘察设计费按国家发展计划委员会、建设部计价格【2002】10号文《工程勘察设计收费标准》计取。</w:t>
      </w:r>
    </w:p>
    <w:p>
      <w:pPr>
        <w:spacing w:line="578" w:lineRule="exact"/>
        <w:ind w:firstLine="632"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12.1.8前期工作咨询费依据计价格[1999]1283号 国家计委关于印发《建设项目前期工作咨询收费暂行规定》的通知和甘价房地[2000]103号 《关于印发建设项目前期工作咨询收费暂行规定的通知》。</w:t>
      </w:r>
    </w:p>
    <w:p>
      <w:pPr>
        <w:spacing w:line="578" w:lineRule="exact"/>
        <w:ind w:firstLine="632"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12.1.9施工图审查费依据甘价服务【2005】229号文。</w:t>
      </w:r>
    </w:p>
    <w:p>
      <w:pPr>
        <w:spacing w:line="578" w:lineRule="exact"/>
        <w:ind w:firstLine="632"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12.1.10招投标交易费依据甘价服务【2017】573号文。</w:t>
      </w:r>
    </w:p>
    <w:p>
      <w:pPr>
        <w:spacing w:line="578" w:lineRule="exact"/>
        <w:ind w:firstLine="632"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12.1.11工程造价咨询费依据甘发改服务[2014]1140号 《关于甘肃省工程造价咨询服务收费项目和标准的批复》。</w:t>
      </w:r>
    </w:p>
    <w:p>
      <w:pPr>
        <w:spacing w:line="578" w:lineRule="exact"/>
        <w:ind w:firstLine="632"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12.1.12环境影响咨询服务费依据参照计价格[2002]125号 《关于规范环境影响咨询收费有关问题的通知》。</w:t>
      </w:r>
    </w:p>
    <w:p>
      <w:pPr>
        <w:spacing w:line="578" w:lineRule="exact"/>
        <w:ind w:firstLine="632" w:firstLineChars="200"/>
        <w:rPr>
          <w:rFonts w:ascii="仿宋_GB2312" w:hAnsi="仿宋_GB2312" w:eastAsia="仿宋_GB2312" w:cs="仿宋_GB2312"/>
          <w:bCs/>
          <w:kern w:val="0"/>
          <w:sz w:val="32"/>
          <w:szCs w:val="32"/>
        </w:rPr>
      </w:pPr>
      <w:r>
        <w:rPr>
          <w:rFonts w:hint="eastAsia" w:ascii="仿宋_GB2312" w:hAnsi="仿宋_GB2312" w:eastAsia="仿宋_GB2312" w:cs="仿宋_GB2312"/>
          <w:bCs/>
          <w:kern w:val="0"/>
          <w:sz w:val="32"/>
          <w:szCs w:val="32"/>
        </w:rPr>
        <w:t>12.1.13《国家发改委关于进一步放开建设项目专业服务价格的通知》发改价格【2015】299号文。</w:t>
      </w:r>
    </w:p>
    <w:p>
      <w:pPr>
        <w:spacing w:line="578" w:lineRule="exact"/>
        <w:ind w:firstLine="632" w:firstLineChars="200"/>
        <w:rPr>
          <w:rFonts w:ascii="仿宋_GB2312" w:hAnsi="仿宋_GB2312" w:eastAsia="仿宋_GB2312" w:cs="仿宋_GB2312"/>
          <w:sz w:val="32"/>
          <w:szCs w:val="32"/>
        </w:rPr>
      </w:pPr>
      <w:bookmarkStart w:id="1195" w:name="_Toc7436_WPSOffice_Level3"/>
      <w:bookmarkStart w:id="1196" w:name="_Toc21256_WPSOffice_Level3"/>
      <w:bookmarkStart w:id="1197" w:name="_Toc29909_WPSOffice_Level3"/>
      <w:bookmarkStart w:id="1198" w:name="_Toc28003_WPSOffice_Level3"/>
      <w:bookmarkStart w:id="1199" w:name="_Toc11217_WPSOffice_Level3"/>
      <w:r>
        <w:rPr>
          <w:rFonts w:hint="eastAsia" w:ascii="仿宋_GB2312" w:hAnsi="仿宋_GB2312" w:eastAsia="仿宋_GB2312" w:cs="仿宋_GB2312"/>
          <w:sz w:val="32"/>
          <w:szCs w:val="32"/>
        </w:rPr>
        <w:t>12.1.14国家及地方工程建设其他费的相关规定。</w:t>
      </w:r>
      <w:bookmarkEnd w:id="1194"/>
      <w:bookmarkEnd w:id="1195"/>
      <w:bookmarkEnd w:id="1196"/>
      <w:bookmarkEnd w:id="1197"/>
      <w:bookmarkEnd w:id="1198"/>
      <w:bookmarkEnd w:id="1199"/>
    </w:p>
    <w:p>
      <w:pPr>
        <w:pStyle w:val="4"/>
        <w:spacing w:before="0" w:after="0" w:line="578" w:lineRule="exact"/>
        <w:ind w:firstLine="632" w:firstLineChars="200"/>
        <w:rPr>
          <w:rFonts w:ascii="黑体" w:hAnsi="黑体"/>
          <w:b w:val="0"/>
          <w:bCs/>
          <w:szCs w:val="32"/>
        </w:rPr>
      </w:pPr>
      <w:bookmarkStart w:id="1200" w:name="_Toc30238_WPSOffice_Level2"/>
      <w:bookmarkStart w:id="1201" w:name="_Toc6681_WPSOffice_Level2"/>
      <w:bookmarkStart w:id="1202" w:name="_Toc18478_WPSOffice_Level2"/>
      <w:bookmarkStart w:id="1203" w:name="_Toc10179_WPSOffice_Level2"/>
      <w:bookmarkStart w:id="1204" w:name="_Toc3388_WPSOffice_Level2"/>
      <w:bookmarkStart w:id="1205" w:name="_Toc28455_WPSOffice_Level2"/>
      <w:bookmarkStart w:id="1206" w:name="_Toc19936_WPSOffice_Level2"/>
      <w:r>
        <w:rPr>
          <w:rFonts w:hint="eastAsia" w:ascii="黑体" w:hAnsi="黑体"/>
          <w:b w:val="0"/>
          <w:bCs/>
          <w:szCs w:val="32"/>
        </w:rPr>
        <w:t>12.2 其他费用及预备费说明</w:t>
      </w:r>
      <w:bookmarkEnd w:id="1200"/>
      <w:bookmarkEnd w:id="1201"/>
      <w:bookmarkEnd w:id="1202"/>
      <w:bookmarkEnd w:id="1203"/>
      <w:bookmarkEnd w:id="1204"/>
      <w:bookmarkEnd w:id="1205"/>
      <w:bookmarkEnd w:id="1206"/>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12.2.1本投资中未考虑建设期内建筑材料可能发生的变动而增加的费用。</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12.2.2本投资中基本预备费按5%计取。</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12.2.3本投资中垃圾处理厂及餐厨垃圾处理厂按已建成和已规划考虑，未考虑投资费用。</w:t>
      </w:r>
    </w:p>
    <w:p>
      <w:pPr>
        <w:pStyle w:val="2"/>
        <w:numPr>
          <w:ilvl w:val="3"/>
          <w:numId w:val="0"/>
        </w:numPr>
        <w:spacing w:line="578" w:lineRule="exact"/>
        <w:ind w:firstLine="632" w:firstLineChars="200"/>
        <w:rPr>
          <w:rFonts w:ascii="仿宋_GB2312" w:hAnsi="仿宋_GB2312" w:eastAsia="仿宋_GB2312" w:cs="仿宋_GB2312"/>
          <w:b w:val="0"/>
          <w:kern w:val="2"/>
          <w:sz w:val="32"/>
          <w:szCs w:val="32"/>
          <w:lang w:val="en-US"/>
        </w:rPr>
      </w:pPr>
      <w:r>
        <w:rPr>
          <w:rFonts w:hint="eastAsia" w:ascii="仿宋_GB2312" w:hAnsi="仿宋_GB2312" w:eastAsia="仿宋_GB2312" w:cs="仿宋_GB2312"/>
          <w:b w:val="0"/>
          <w:kern w:val="2"/>
          <w:sz w:val="32"/>
          <w:szCs w:val="32"/>
          <w:lang w:val="en-US"/>
        </w:rPr>
        <w:t>12.2.4垃圾处理设备费用以镜铁区人口户数55302户为基数，计算出镜铁区首年需投入垃圾处理设备费用1129万元，则嘉峪关市城市生活垃圾投入设备费用为1129/55302*95963.7=1959万元。</w:t>
      </w:r>
    </w:p>
    <w:p>
      <w:pPr>
        <w:pStyle w:val="4"/>
        <w:spacing w:before="0" w:after="0" w:line="578" w:lineRule="exact"/>
        <w:ind w:firstLine="632" w:firstLineChars="200"/>
        <w:rPr>
          <w:rFonts w:ascii="黑体" w:hAnsi="黑体"/>
          <w:b w:val="0"/>
          <w:bCs/>
          <w:szCs w:val="32"/>
        </w:rPr>
      </w:pPr>
      <w:bookmarkStart w:id="1207" w:name="_Toc21187_WPSOffice_Level2"/>
      <w:bookmarkStart w:id="1208" w:name="_Toc11824_WPSOffice_Level2"/>
      <w:bookmarkStart w:id="1209" w:name="_Toc18305_WPSOffice_Level2"/>
      <w:bookmarkStart w:id="1210" w:name="_Toc1317_WPSOffice_Level2"/>
      <w:bookmarkStart w:id="1211" w:name="_Toc28724_WPSOffice_Level2"/>
      <w:bookmarkStart w:id="1212" w:name="_Toc10171_WPSOffice_Level2"/>
      <w:bookmarkStart w:id="1213" w:name="_Toc14145_WPSOffice_Level2"/>
      <w:r>
        <w:rPr>
          <w:rFonts w:hint="eastAsia" w:ascii="黑体" w:hAnsi="黑体"/>
          <w:b w:val="0"/>
          <w:bCs/>
          <w:szCs w:val="32"/>
        </w:rPr>
        <w:t>12.3 项目投资估算</w:t>
      </w:r>
      <w:bookmarkEnd w:id="1207"/>
      <w:bookmarkEnd w:id="1208"/>
      <w:bookmarkEnd w:id="1209"/>
      <w:bookmarkEnd w:id="1210"/>
      <w:bookmarkEnd w:id="1211"/>
      <w:bookmarkEnd w:id="1212"/>
      <w:bookmarkEnd w:id="1213"/>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本拟建项目估算投资总额为6687.18万元，其中：工程费用4429.26万元（智能垃圾分类设备费用2350.59万元，分拣中心工程费用2078.67万元），工程建设其他费268.71万元，基本预备费130.96万元。项目实施运营及人工费用1858.25万元。</w:t>
      </w:r>
    </w:p>
    <w:p>
      <w:pPr>
        <w:pStyle w:val="4"/>
        <w:spacing w:before="0" w:after="0" w:line="578" w:lineRule="exact"/>
        <w:ind w:firstLine="632" w:firstLineChars="200"/>
        <w:rPr>
          <w:rFonts w:ascii="黑体" w:hAnsi="黑体"/>
          <w:b w:val="0"/>
          <w:bCs/>
          <w:szCs w:val="32"/>
        </w:rPr>
      </w:pPr>
      <w:bookmarkStart w:id="1214" w:name="_Toc8524_WPSOffice_Level2"/>
      <w:r>
        <w:rPr>
          <w:rFonts w:hint="eastAsia" w:ascii="黑体" w:hAnsi="黑体"/>
          <w:b w:val="0"/>
          <w:bCs/>
          <w:szCs w:val="32"/>
        </w:rPr>
        <w:t>12.4收费估算</w:t>
      </w:r>
      <w:bookmarkEnd w:id="1214"/>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12.4.1嘉峪关市城市生活垃圾分类处理后按处理用户收费每户每年400元；医院按每床位每天2元；小型医院诊所每单位每年800元；机关企事业单位每单位每年3000元；年收费4267.44万元。</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12.4.2垃圾回收再生资源收入</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经分拣中心对垃圾分拣处理后可回收垃圾纸张、旧衣物、塑料、金属等根据国家再生资源回收管理办法的规定，可获得一部分收入作为运营公司垃圾分类处理积分兑换的奖励及宣传费用的补贴。</w:t>
      </w:r>
    </w:p>
    <w:p>
      <w:pPr>
        <w:spacing w:line="578" w:lineRule="exact"/>
        <w:ind w:firstLine="632" w:firstLineChars="200"/>
        <w:rPr>
          <w:rFonts w:ascii="仿宋_GB2312" w:hAnsi="仿宋_GB2312" w:eastAsia="仿宋_GB2312" w:cs="仿宋_GB2312"/>
          <w:sz w:val="32"/>
          <w:szCs w:val="32"/>
        </w:rPr>
        <w:sectPr>
          <w:headerReference r:id="rId8" w:type="default"/>
          <w:footerReference r:id="rId9" w:type="default"/>
          <w:pgSz w:w="11906" w:h="16838"/>
          <w:pgMar w:top="2098" w:right="1474" w:bottom="1984" w:left="1587" w:header="1638" w:footer="1417" w:gutter="0"/>
          <w:cols w:space="0" w:num="1"/>
          <w:docGrid w:type="linesAndChars" w:linePitch="579" w:charSpace="-882"/>
        </w:sectPr>
      </w:pPr>
      <w:r>
        <w:rPr>
          <w:rFonts w:hint="eastAsia" w:ascii="仿宋_GB2312" w:hAnsi="仿宋_GB2312" w:eastAsia="仿宋_GB2312" w:cs="仿宋_GB2312"/>
          <w:sz w:val="32"/>
          <w:szCs w:val="32"/>
        </w:rPr>
        <w:t>投资估算明细如下表：</w:t>
      </w:r>
    </w:p>
    <w:tbl>
      <w:tblPr>
        <w:tblStyle w:val="16"/>
        <w:tblW w:w="14075" w:type="dxa"/>
        <w:tblInd w:w="0" w:type="dxa"/>
        <w:tblLayout w:type="fixed"/>
        <w:tblCellMar>
          <w:top w:w="0" w:type="dxa"/>
          <w:left w:w="0" w:type="dxa"/>
          <w:bottom w:w="0" w:type="dxa"/>
          <w:right w:w="0" w:type="dxa"/>
        </w:tblCellMar>
      </w:tblPr>
      <w:tblGrid>
        <w:gridCol w:w="7"/>
        <w:gridCol w:w="551"/>
        <w:gridCol w:w="7"/>
        <w:gridCol w:w="175"/>
        <w:gridCol w:w="93"/>
        <w:gridCol w:w="26"/>
        <w:gridCol w:w="267"/>
        <w:gridCol w:w="567"/>
        <w:gridCol w:w="196"/>
        <w:gridCol w:w="897"/>
        <w:gridCol w:w="189"/>
        <w:gridCol w:w="6"/>
        <w:gridCol w:w="393"/>
        <w:gridCol w:w="22"/>
        <w:gridCol w:w="24"/>
        <w:gridCol w:w="184"/>
        <w:gridCol w:w="422"/>
        <w:gridCol w:w="349"/>
        <w:gridCol w:w="93"/>
        <w:gridCol w:w="280"/>
        <w:gridCol w:w="190"/>
        <w:gridCol w:w="403"/>
        <w:gridCol w:w="75"/>
        <w:gridCol w:w="113"/>
        <w:gridCol w:w="547"/>
        <w:gridCol w:w="25"/>
        <w:gridCol w:w="38"/>
        <w:gridCol w:w="37"/>
        <w:gridCol w:w="208"/>
        <w:gridCol w:w="100"/>
        <w:gridCol w:w="369"/>
        <w:gridCol w:w="68"/>
        <w:gridCol w:w="58"/>
        <w:gridCol w:w="363"/>
        <w:gridCol w:w="72"/>
        <w:gridCol w:w="281"/>
        <w:gridCol w:w="124"/>
        <w:gridCol w:w="89"/>
        <w:gridCol w:w="35"/>
        <w:gridCol w:w="403"/>
        <w:gridCol w:w="70"/>
        <w:gridCol w:w="22"/>
        <w:gridCol w:w="46"/>
        <w:gridCol w:w="395"/>
        <w:gridCol w:w="189"/>
        <w:gridCol w:w="221"/>
        <w:gridCol w:w="593"/>
        <w:gridCol w:w="39"/>
        <w:gridCol w:w="25"/>
        <w:gridCol w:w="181"/>
        <w:gridCol w:w="319"/>
        <w:gridCol w:w="907"/>
        <w:gridCol w:w="119"/>
        <w:gridCol w:w="257"/>
        <w:gridCol w:w="409"/>
        <w:gridCol w:w="52"/>
        <w:gridCol w:w="150"/>
        <w:gridCol w:w="84"/>
        <w:gridCol w:w="827"/>
        <w:gridCol w:w="195"/>
        <w:gridCol w:w="443"/>
        <w:gridCol w:w="19"/>
        <w:gridCol w:w="167"/>
      </w:tblGrid>
      <w:tr>
        <w:tblPrEx>
          <w:tblCellMar>
            <w:top w:w="0" w:type="dxa"/>
            <w:left w:w="0" w:type="dxa"/>
            <w:bottom w:w="0" w:type="dxa"/>
            <w:right w:w="0" w:type="dxa"/>
          </w:tblCellMar>
        </w:tblPrEx>
        <w:trPr>
          <w:gridAfter w:val="6"/>
          <w:wAfter w:w="1735" w:type="dxa"/>
          <w:trHeight w:val="587" w:hRule="atLeast"/>
        </w:trPr>
        <w:tc>
          <w:tcPr>
            <w:tcW w:w="12340" w:type="dxa"/>
            <w:gridSpan w:val="57"/>
            <w:tcBorders>
              <w:top w:val="nil"/>
              <w:left w:val="nil"/>
              <w:bottom w:val="nil"/>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b/>
                <w:sz w:val="40"/>
                <w:szCs w:val="40"/>
              </w:rPr>
            </w:pPr>
            <w:r>
              <w:rPr>
                <w:rFonts w:hint="eastAsia" w:ascii="宋体" w:hAnsi="宋体" w:eastAsia="宋体" w:cs="宋体"/>
                <w:b/>
                <w:kern w:val="0"/>
                <w:sz w:val="40"/>
                <w:szCs w:val="40"/>
              </w:rPr>
              <w:t>嘉峪关市城市生活垃圾分类处理投资估算</w:t>
            </w:r>
          </w:p>
        </w:tc>
      </w:tr>
      <w:tr>
        <w:tblPrEx>
          <w:tblCellMar>
            <w:top w:w="0" w:type="dxa"/>
            <w:left w:w="0" w:type="dxa"/>
            <w:bottom w:w="0" w:type="dxa"/>
            <w:right w:w="0" w:type="dxa"/>
          </w:tblCellMar>
        </w:tblPrEx>
        <w:trPr>
          <w:gridAfter w:val="6"/>
          <w:wAfter w:w="1735" w:type="dxa"/>
          <w:trHeight w:val="379" w:hRule="atLeast"/>
        </w:trPr>
        <w:tc>
          <w:tcPr>
            <w:tcW w:w="740" w:type="dxa"/>
            <w:gridSpan w:val="4"/>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序号</w:t>
            </w:r>
          </w:p>
        </w:tc>
        <w:tc>
          <w:tcPr>
            <w:tcW w:w="2634" w:type="dxa"/>
            <w:gridSpan w:val="9"/>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项目或费用名称</w:t>
            </w:r>
          </w:p>
        </w:tc>
        <w:tc>
          <w:tcPr>
            <w:tcW w:w="5042" w:type="dxa"/>
            <w:gridSpan w:val="2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估  算  价  值（万元）</w:t>
            </w:r>
          </w:p>
        </w:tc>
        <w:tc>
          <w:tcPr>
            <w:tcW w:w="2937" w:type="dxa"/>
            <w:gridSpan w:val="11"/>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技 术 经 济 指 标</w:t>
            </w:r>
          </w:p>
        </w:tc>
        <w:tc>
          <w:tcPr>
            <w:tcW w:w="987" w:type="dxa"/>
            <w:gridSpan w:val="5"/>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占总投资（%）</w:t>
            </w:r>
          </w:p>
        </w:tc>
      </w:tr>
      <w:tr>
        <w:tblPrEx>
          <w:tblCellMar>
            <w:top w:w="0" w:type="dxa"/>
            <w:left w:w="0" w:type="dxa"/>
            <w:bottom w:w="0" w:type="dxa"/>
            <w:right w:w="0" w:type="dxa"/>
          </w:tblCellMar>
        </w:tblPrEx>
        <w:trPr>
          <w:gridAfter w:val="6"/>
          <w:wAfter w:w="1735" w:type="dxa"/>
          <w:trHeight w:val="379" w:hRule="atLeast"/>
        </w:trPr>
        <w:tc>
          <w:tcPr>
            <w:tcW w:w="740"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634" w:type="dxa"/>
            <w:gridSpan w:val="9"/>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01" w:type="dxa"/>
            <w:gridSpan w:val="5"/>
            <w:tcBorders>
              <w:top w:val="single" w:color="000000" w:sz="4" w:space="0"/>
              <w:left w:val="single" w:color="000000" w:sz="4" w:space="0"/>
              <w:bottom w:val="nil"/>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建筑</w:t>
            </w:r>
          </w:p>
        </w:tc>
        <w:tc>
          <w:tcPr>
            <w:tcW w:w="1041" w:type="dxa"/>
            <w:gridSpan w:val="5"/>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安装</w:t>
            </w:r>
          </w:p>
        </w:tc>
        <w:tc>
          <w:tcPr>
            <w:tcW w:w="968" w:type="dxa"/>
            <w:gridSpan w:val="6"/>
            <w:vMerge w:val="restar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设备费</w:t>
            </w:r>
          </w:p>
        </w:tc>
        <w:tc>
          <w:tcPr>
            <w:tcW w:w="958"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其它</w:t>
            </w:r>
          </w:p>
        </w:tc>
        <w:tc>
          <w:tcPr>
            <w:tcW w:w="1074" w:type="dxa"/>
            <w:gridSpan w:val="7"/>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总 价</w:t>
            </w:r>
          </w:p>
        </w:tc>
        <w:tc>
          <w:tcPr>
            <w:tcW w:w="463" w:type="dxa"/>
            <w:gridSpan w:val="3"/>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单位</w:t>
            </w:r>
          </w:p>
        </w:tc>
        <w:tc>
          <w:tcPr>
            <w:tcW w:w="1067" w:type="dxa"/>
            <w:gridSpan w:val="5"/>
            <w:vMerge w:val="restar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数量</w:t>
            </w:r>
          </w:p>
        </w:tc>
        <w:tc>
          <w:tcPr>
            <w:tcW w:w="1407" w:type="dxa"/>
            <w:gridSpan w:val="3"/>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单位造价</w:t>
            </w:r>
          </w:p>
        </w:tc>
        <w:tc>
          <w:tcPr>
            <w:tcW w:w="987"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740" w:type="dxa"/>
            <w:gridSpan w:val="4"/>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634" w:type="dxa"/>
            <w:gridSpan w:val="9"/>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01" w:type="dxa"/>
            <w:gridSpan w:val="5"/>
            <w:tcBorders>
              <w:top w:val="nil"/>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工程</w:t>
            </w:r>
          </w:p>
        </w:tc>
        <w:tc>
          <w:tcPr>
            <w:tcW w:w="1041" w:type="dxa"/>
            <w:gridSpan w:val="5"/>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工程</w:t>
            </w:r>
          </w:p>
        </w:tc>
        <w:tc>
          <w:tcPr>
            <w:tcW w:w="968" w:type="dxa"/>
            <w:gridSpan w:val="6"/>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58"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费用</w:t>
            </w:r>
          </w:p>
        </w:tc>
        <w:tc>
          <w:tcPr>
            <w:tcW w:w="1074" w:type="dxa"/>
            <w:gridSpan w:val="7"/>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463"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67" w:type="dxa"/>
            <w:gridSpan w:val="5"/>
            <w:vMerge w:val="continue"/>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407" w:type="dxa"/>
            <w:gridSpan w:val="3"/>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（元/m</w:t>
            </w:r>
            <w:r>
              <w:rPr>
                <w:rFonts w:hint="eastAsia" w:ascii="宋体" w:hAnsi="宋体" w:eastAsia="宋体" w:cs="宋体"/>
                <w:kern w:val="0"/>
                <w:sz w:val="24"/>
                <w:szCs w:val="24"/>
                <w:vertAlign w:val="superscript"/>
              </w:rPr>
              <w:t>2</w:t>
            </w:r>
            <w:r>
              <w:rPr>
                <w:rFonts w:hint="eastAsia" w:ascii="宋体" w:hAnsi="宋体" w:eastAsia="宋体" w:cs="宋体"/>
                <w:kern w:val="0"/>
                <w:sz w:val="24"/>
                <w:szCs w:val="24"/>
              </w:rPr>
              <w:t>）</w:t>
            </w:r>
          </w:p>
        </w:tc>
        <w:tc>
          <w:tcPr>
            <w:tcW w:w="987"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740"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b/>
                <w:kern w:val="0"/>
                <w:sz w:val="24"/>
                <w:szCs w:val="24"/>
              </w:rPr>
              <w:t>一</w:t>
            </w:r>
          </w:p>
        </w:tc>
        <w:tc>
          <w:tcPr>
            <w:tcW w:w="2634"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b/>
                <w:sz w:val="20"/>
                <w:szCs w:val="20"/>
              </w:rPr>
            </w:pPr>
            <w:r>
              <w:rPr>
                <w:rFonts w:hint="eastAsia" w:ascii="宋体" w:hAnsi="宋体" w:eastAsia="宋体" w:cs="宋体"/>
                <w:b/>
                <w:kern w:val="0"/>
                <w:sz w:val="24"/>
                <w:szCs w:val="24"/>
              </w:rPr>
              <w:t>垃圾处理设备</w:t>
            </w:r>
          </w:p>
        </w:tc>
        <w:tc>
          <w:tcPr>
            <w:tcW w:w="100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1232.11</w:t>
            </w:r>
          </w:p>
        </w:tc>
        <w:tc>
          <w:tcPr>
            <w:tcW w:w="104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649.72</w:t>
            </w:r>
          </w:p>
        </w:tc>
        <w:tc>
          <w:tcPr>
            <w:tcW w:w="968"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2266.48</w:t>
            </w:r>
          </w:p>
        </w:tc>
        <w:tc>
          <w:tcPr>
            <w:tcW w:w="958"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p>
        </w:tc>
        <w:tc>
          <w:tcPr>
            <w:tcW w:w="1074"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4429.26</w:t>
            </w:r>
          </w:p>
        </w:tc>
        <w:tc>
          <w:tcPr>
            <w:tcW w:w="463"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b/>
                <w:kern w:val="0"/>
                <w:sz w:val="24"/>
                <w:szCs w:val="24"/>
              </w:rPr>
              <w:t>户</w:t>
            </w:r>
          </w:p>
        </w:tc>
        <w:tc>
          <w:tcPr>
            <w:tcW w:w="106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b/>
                <w:kern w:val="0"/>
                <w:sz w:val="24"/>
                <w:szCs w:val="24"/>
              </w:rPr>
              <w:t xml:space="preserve">95964 </w:t>
            </w:r>
          </w:p>
        </w:tc>
        <w:tc>
          <w:tcPr>
            <w:tcW w:w="1407"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b/>
                <w:kern w:val="0"/>
                <w:sz w:val="24"/>
                <w:szCs w:val="24"/>
              </w:rPr>
              <w:t xml:space="preserve">461.56 </w:t>
            </w: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b/>
                <w:kern w:val="0"/>
                <w:sz w:val="24"/>
                <w:szCs w:val="24"/>
              </w:rPr>
              <w:t xml:space="preserve">66.24 </w:t>
            </w:r>
          </w:p>
        </w:tc>
      </w:tr>
      <w:tr>
        <w:tblPrEx>
          <w:tblCellMar>
            <w:top w:w="0" w:type="dxa"/>
            <w:left w:w="0" w:type="dxa"/>
            <w:bottom w:w="0" w:type="dxa"/>
            <w:right w:w="0" w:type="dxa"/>
          </w:tblCellMar>
        </w:tblPrEx>
        <w:trPr>
          <w:gridAfter w:val="6"/>
          <w:wAfter w:w="1735" w:type="dxa"/>
          <w:trHeight w:val="379" w:hRule="atLeast"/>
        </w:trPr>
        <w:tc>
          <w:tcPr>
            <w:tcW w:w="740"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1</w:t>
            </w:r>
          </w:p>
        </w:tc>
        <w:tc>
          <w:tcPr>
            <w:tcW w:w="2634"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智能设备及其他设备</w:t>
            </w:r>
          </w:p>
        </w:tc>
        <w:tc>
          <w:tcPr>
            <w:tcW w:w="100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4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 xml:space="preserve">391.77 </w:t>
            </w:r>
          </w:p>
        </w:tc>
        <w:tc>
          <w:tcPr>
            <w:tcW w:w="968"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 xml:space="preserve">1958.83 </w:t>
            </w:r>
          </w:p>
        </w:tc>
        <w:tc>
          <w:tcPr>
            <w:tcW w:w="958"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74"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2350.59</w:t>
            </w:r>
          </w:p>
        </w:tc>
        <w:tc>
          <w:tcPr>
            <w:tcW w:w="463"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户</w:t>
            </w:r>
          </w:p>
        </w:tc>
        <w:tc>
          <w:tcPr>
            <w:tcW w:w="106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 xml:space="preserve">95964 </w:t>
            </w:r>
          </w:p>
        </w:tc>
        <w:tc>
          <w:tcPr>
            <w:tcW w:w="1407"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244.95</w:t>
            </w: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Cs/>
                <w:sz w:val="20"/>
                <w:szCs w:val="20"/>
              </w:rPr>
            </w:pPr>
          </w:p>
        </w:tc>
      </w:tr>
      <w:tr>
        <w:tblPrEx>
          <w:tblCellMar>
            <w:top w:w="0" w:type="dxa"/>
            <w:left w:w="0" w:type="dxa"/>
            <w:bottom w:w="0" w:type="dxa"/>
            <w:right w:w="0" w:type="dxa"/>
          </w:tblCellMar>
        </w:tblPrEx>
        <w:trPr>
          <w:gridAfter w:val="6"/>
          <w:wAfter w:w="1735" w:type="dxa"/>
          <w:trHeight w:val="379" w:hRule="atLeast"/>
        </w:trPr>
        <w:tc>
          <w:tcPr>
            <w:tcW w:w="740"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2</w:t>
            </w:r>
          </w:p>
        </w:tc>
        <w:tc>
          <w:tcPr>
            <w:tcW w:w="2634"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分拣中心费用</w:t>
            </w:r>
          </w:p>
        </w:tc>
        <w:tc>
          <w:tcPr>
            <w:tcW w:w="100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4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68"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58"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74"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ascii="宋体" w:hAnsi="宋体" w:eastAsia="宋体" w:cs="宋体"/>
                <w:kern w:val="0"/>
                <w:sz w:val="24"/>
                <w:szCs w:val="24"/>
              </w:rPr>
              <w:t>2078.67</w:t>
            </w:r>
          </w:p>
        </w:tc>
        <w:tc>
          <w:tcPr>
            <w:tcW w:w="463"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6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407"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Cs/>
                <w:kern w:val="0"/>
                <w:sz w:val="24"/>
                <w:szCs w:val="24"/>
              </w:rPr>
            </w:pPr>
          </w:p>
        </w:tc>
      </w:tr>
      <w:tr>
        <w:tblPrEx>
          <w:tblCellMar>
            <w:top w:w="0" w:type="dxa"/>
            <w:left w:w="0" w:type="dxa"/>
            <w:bottom w:w="0" w:type="dxa"/>
            <w:right w:w="0" w:type="dxa"/>
          </w:tblCellMar>
        </w:tblPrEx>
        <w:trPr>
          <w:gridAfter w:val="6"/>
          <w:wAfter w:w="1735" w:type="dxa"/>
          <w:trHeight w:val="379" w:hRule="atLeast"/>
        </w:trPr>
        <w:tc>
          <w:tcPr>
            <w:tcW w:w="740"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（1）</w:t>
            </w:r>
          </w:p>
        </w:tc>
        <w:tc>
          <w:tcPr>
            <w:tcW w:w="2634"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分拣中心建筑工程</w:t>
            </w:r>
          </w:p>
        </w:tc>
        <w:tc>
          <w:tcPr>
            <w:tcW w:w="100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1232.11</w:t>
            </w:r>
          </w:p>
        </w:tc>
        <w:tc>
          <w:tcPr>
            <w:tcW w:w="104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68"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58"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74"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1232.11</w:t>
            </w:r>
          </w:p>
        </w:tc>
        <w:tc>
          <w:tcPr>
            <w:tcW w:w="463"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ascii="宋体" w:hAnsi="宋体" w:eastAsia="宋体" w:cs="宋体"/>
                <w:kern w:val="0"/>
                <w:sz w:val="24"/>
                <w:szCs w:val="24"/>
              </w:rPr>
              <w:t>㎡</w:t>
            </w:r>
          </w:p>
        </w:tc>
        <w:tc>
          <w:tcPr>
            <w:tcW w:w="106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5029.00</w:t>
            </w:r>
          </w:p>
        </w:tc>
        <w:tc>
          <w:tcPr>
            <w:tcW w:w="1407"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2450.00</w:t>
            </w: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740"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kern w:val="0"/>
                <w:sz w:val="22"/>
              </w:rPr>
              <w:t>（2）</w:t>
            </w:r>
          </w:p>
        </w:tc>
        <w:tc>
          <w:tcPr>
            <w:tcW w:w="2634"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b/>
                <w:sz w:val="20"/>
                <w:szCs w:val="20"/>
              </w:rPr>
            </w:pPr>
            <w:r>
              <w:rPr>
                <w:rFonts w:hint="eastAsia" w:ascii="宋体" w:hAnsi="宋体" w:eastAsia="宋体" w:cs="宋体"/>
                <w:kern w:val="0"/>
                <w:sz w:val="22"/>
              </w:rPr>
              <w:t>分拣中心给排水工程</w:t>
            </w:r>
          </w:p>
        </w:tc>
        <w:tc>
          <w:tcPr>
            <w:tcW w:w="100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04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center"/>
              <w:rPr>
                <w:rFonts w:ascii="宋体" w:hAnsi="宋体" w:eastAsia="宋体" w:cs="宋体"/>
                <w:kern w:val="0"/>
                <w:sz w:val="24"/>
                <w:szCs w:val="24"/>
              </w:rPr>
            </w:pPr>
            <w:r>
              <w:rPr>
                <w:rFonts w:ascii="宋体" w:hAnsi="宋体" w:eastAsia="宋体" w:cs="宋体"/>
                <w:kern w:val="0"/>
                <w:sz w:val="24"/>
                <w:szCs w:val="24"/>
              </w:rPr>
              <w:t>40.23</w:t>
            </w:r>
          </w:p>
        </w:tc>
        <w:tc>
          <w:tcPr>
            <w:tcW w:w="968"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58"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074"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40.23</w:t>
            </w:r>
          </w:p>
        </w:tc>
        <w:tc>
          <w:tcPr>
            <w:tcW w:w="463"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ascii="宋体" w:hAnsi="宋体" w:eastAsia="宋体" w:cs="宋体"/>
                <w:kern w:val="0"/>
                <w:sz w:val="24"/>
                <w:szCs w:val="24"/>
              </w:rPr>
              <w:t>㎡</w:t>
            </w:r>
          </w:p>
        </w:tc>
        <w:tc>
          <w:tcPr>
            <w:tcW w:w="106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5029.00</w:t>
            </w:r>
          </w:p>
        </w:tc>
        <w:tc>
          <w:tcPr>
            <w:tcW w:w="1407"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80.00</w:t>
            </w: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r>
      <w:tr>
        <w:tblPrEx>
          <w:tblCellMar>
            <w:top w:w="0" w:type="dxa"/>
            <w:left w:w="0" w:type="dxa"/>
            <w:bottom w:w="0" w:type="dxa"/>
            <w:right w:w="0" w:type="dxa"/>
          </w:tblCellMar>
        </w:tblPrEx>
        <w:trPr>
          <w:gridAfter w:val="6"/>
          <w:wAfter w:w="1735" w:type="dxa"/>
          <w:trHeight w:val="379" w:hRule="atLeast"/>
        </w:trPr>
        <w:tc>
          <w:tcPr>
            <w:tcW w:w="740"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（3）</w:t>
            </w:r>
          </w:p>
        </w:tc>
        <w:tc>
          <w:tcPr>
            <w:tcW w:w="2634"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分拣中心暖通工程</w:t>
            </w:r>
          </w:p>
        </w:tc>
        <w:tc>
          <w:tcPr>
            <w:tcW w:w="100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4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center"/>
              <w:rPr>
                <w:rFonts w:ascii="宋体" w:hAnsi="宋体" w:eastAsia="宋体" w:cs="宋体"/>
                <w:kern w:val="0"/>
                <w:sz w:val="24"/>
                <w:szCs w:val="24"/>
              </w:rPr>
            </w:pPr>
            <w:r>
              <w:rPr>
                <w:rFonts w:ascii="宋体" w:hAnsi="宋体" w:eastAsia="宋体" w:cs="宋体"/>
                <w:kern w:val="0"/>
                <w:sz w:val="24"/>
                <w:szCs w:val="24"/>
              </w:rPr>
              <w:t>50.29</w:t>
            </w:r>
          </w:p>
        </w:tc>
        <w:tc>
          <w:tcPr>
            <w:tcW w:w="968"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58"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74"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50.29</w:t>
            </w:r>
          </w:p>
        </w:tc>
        <w:tc>
          <w:tcPr>
            <w:tcW w:w="463"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ascii="宋体" w:hAnsi="宋体" w:eastAsia="宋体" w:cs="宋体"/>
                <w:kern w:val="0"/>
                <w:sz w:val="24"/>
                <w:szCs w:val="24"/>
              </w:rPr>
              <w:t>㎡</w:t>
            </w:r>
          </w:p>
        </w:tc>
        <w:tc>
          <w:tcPr>
            <w:tcW w:w="106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5029.00</w:t>
            </w:r>
          </w:p>
        </w:tc>
        <w:tc>
          <w:tcPr>
            <w:tcW w:w="1407"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100.00</w:t>
            </w: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740"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（4）</w:t>
            </w:r>
          </w:p>
        </w:tc>
        <w:tc>
          <w:tcPr>
            <w:tcW w:w="2634"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分拣中心电气工程</w:t>
            </w:r>
          </w:p>
        </w:tc>
        <w:tc>
          <w:tcPr>
            <w:tcW w:w="100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4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center"/>
              <w:rPr>
                <w:rFonts w:ascii="宋体" w:hAnsi="宋体" w:eastAsia="宋体" w:cs="宋体"/>
                <w:kern w:val="0"/>
                <w:sz w:val="24"/>
                <w:szCs w:val="24"/>
              </w:rPr>
            </w:pPr>
            <w:r>
              <w:rPr>
                <w:rFonts w:ascii="宋体" w:hAnsi="宋体" w:eastAsia="宋体" w:cs="宋体"/>
                <w:kern w:val="0"/>
                <w:sz w:val="24"/>
                <w:szCs w:val="24"/>
              </w:rPr>
              <w:t>90.52</w:t>
            </w:r>
          </w:p>
        </w:tc>
        <w:tc>
          <w:tcPr>
            <w:tcW w:w="968"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58"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74"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90.52</w:t>
            </w:r>
          </w:p>
        </w:tc>
        <w:tc>
          <w:tcPr>
            <w:tcW w:w="463"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ascii="宋体" w:hAnsi="宋体" w:eastAsia="宋体" w:cs="宋体"/>
                <w:kern w:val="0"/>
                <w:sz w:val="24"/>
                <w:szCs w:val="24"/>
              </w:rPr>
              <w:t>㎡</w:t>
            </w:r>
          </w:p>
        </w:tc>
        <w:tc>
          <w:tcPr>
            <w:tcW w:w="106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5029.00</w:t>
            </w:r>
          </w:p>
        </w:tc>
        <w:tc>
          <w:tcPr>
            <w:tcW w:w="1407"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180.00</w:t>
            </w: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740"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（5）</w:t>
            </w:r>
          </w:p>
        </w:tc>
        <w:tc>
          <w:tcPr>
            <w:tcW w:w="2634"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分拣中心设备</w:t>
            </w:r>
          </w:p>
        </w:tc>
        <w:tc>
          <w:tcPr>
            <w:tcW w:w="100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4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center"/>
              <w:rPr>
                <w:rFonts w:ascii="宋体" w:hAnsi="宋体" w:eastAsia="宋体" w:cs="宋体"/>
                <w:kern w:val="0"/>
                <w:sz w:val="24"/>
                <w:szCs w:val="24"/>
              </w:rPr>
            </w:pPr>
            <w:r>
              <w:rPr>
                <w:rFonts w:ascii="宋体" w:hAnsi="宋体" w:eastAsia="宋体" w:cs="宋体"/>
                <w:kern w:val="0"/>
                <w:sz w:val="24"/>
                <w:szCs w:val="24"/>
              </w:rPr>
              <w:t>76.91</w:t>
            </w:r>
          </w:p>
        </w:tc>
        <w:tc>
          <w:tcPr>
            <w:tcW w:w="968"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 xml:space="preserve">307.65 </w:t>
            </w:r>
          </w:p>
        </w:tc>
        <w:tc>
          <w:tcPr>
            <w:tcW w:w="958"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74"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384.56</w:t>
            </w:r>
          </w:p>
        </w:tc>
        <w:tc>
          <w:tcPr>
            <w:tcW w:w="463"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ascii="宋体" w:hAnsi="宋体" w:eastAsia="宋体" w:cs="宋体"/>
                <w:kern w:val="0"/>
                <w:sz w:val="24"/>
                <w:szCs w:val="24"/>
              </w:rPr>
              <w:t>㎡</w:t>
            </w:r>
          </w:p>
        </w:tc>
        <w:tc>
          <w:tcPr>
            <w:tcW w:w="106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5029.00</w:t>
            </w:r>
          </w:p>
        </w:tc>
        <w:tc>
          <w:tcPr>
            <w:tcW w:w="1407"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764.69</w:t>
            </w: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740"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（6）</w:t>
            </w:r>
          </w:p>
        </w:tc>
        <w:tc>
          <w:tcPr>
            <w:tcW w:w="2634"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室外附属</w:t>
            </w:r>
          </w:p>
        </w:tc>
        <w:tc>
          <w:tcPr>
            <w:tcW w:w="100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250.96</w:t>
            </w:r>
          </w:p>
        </w:tc>
        <w:tc>
          <w:tcPr>
            <w:tcW w:w="1041"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68"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58"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74"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250.96</w:t>
            </w:r>
          </w:p>
        </w:tc>
        <w:tc>
          <w:tcPr>
            <w:tcW w:w="463"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ascii="宋体" w:hAnsi="宋体" w:eastAsia="宋体" w:cs="宋体"/>
                <w:kern w:val="0"/>
                <w:sz w:val="24"/>
                <w:szCs w:val="24"/>
              </w:rPr>
              <w:t>㎡</w:t>
            </w:r>
          </w:p>
        </w:tc>
        <w:tc>
          <w:tcPr>
            <w:tcW w:w="106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5029.00</w:t>
            </w:r>
          </w:p>
        </w:tc>
        <w:tc>
          <w:tcPr>
            <w:tcW w:w="1407"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360.00</w:t>
            </w: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625" w:hRule="atLeast"/>
        </w:trPr>
        <w:tc>
          <w:tcPr>
            <w:tcW w:w="12340" w:type="dxa"/>
            <w:gridSpan w:val="57"/>
            <w:tcBorders>
              <w:top w:val="nil"/>
              <w:left w:val="nil"/>
              <w:bottom w:val="nil"/>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b/>
                <w:sz w:val="40"/>
                <w:szCs w:val="40"/>
              </w:rPr>
            </w:pPr>
            <w:r>
              <w:rPr>
                <w:rFonts w:hint="eastAsia" w:ascii="宋体" w:hAnsi="宋体" w:eastAsia="宋体" w:cs="宋体"/>
                <w:b/>
                <w:kern w:val="0"/>
                <w:sz w:val="40"/>
                <w:szCs w:val="40"/>
              </w:rPr>
              <w:t>嘉峪关市城市生活垃圾分类处理投资估算</w:t>
            </w:r>
          </w:p>
        </w:tc>
      </w:tr>
      <w:tr>
        <w:tblPrEx>
          <w:tblCellMar>
            <w:top w:w="0" w:type="dxa"/>
            <w:left w:w="0" w:type="dxa"/>
            <w:bottom w:w="0" w:type="dxa"/>
            <w:right w:w="0" w:type="dxa"/>
          </w:tblCellMar>
        </w:tblPrEx>
        <w:trPr>
          <w:gridAfter w:val="6"/>
          <w:wAfter w:w="1735" w:type="dxa"/>
          <w:trHeight w:val="379" w:hRule="atLeast"/>
        </w:trPr>
        <w:tc>
          <w:tcPr>
            <w:tcW w:w="558"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序号</w:t>
            </w:r>
          </w:p>
        </w:tc>
        <w:tc>
          <w:tcPr>
            <w:tcW w:w="2417" w:type="dxa"/>
            <w:gridSpan w:val="9"/>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项目或费用名称</w:t>
            </w:r>
          </w:p>
        </w:tc>
        <w:tc>
          <w:tcPr>
            <w:tcW w:w="5509" w:type="dxa"/>
            <w:gridSpan w:val="3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估  算  价  值（万元）</w:t>
            </w:r>
          </w:p>
        </w:tc>
        <w:tc>
          <w:tcPr>
            <w:tcW w:w="2869"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技 术 经 济 指 标</w:t>
            </w:r>
          </w:p>
        </w:tc>
        <w:tc>
          <w:tcPr>
            <w:tcW w:w="987" w:type="dxa"/>
            <w:gridSpan w:val="5"/>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占总投资（%）</w:t>
            </w:r>
          </w:p>
        </w:tc>
      </w:tr>
      <w:tr>
        <w:tblPrEx>
          <w:tblCellMar>
            <w:top w:w="0" w:type="dxa"/>
            <w:left w:w="0" w:type="dxa"/>
            <w:bottom w:w="0" w:type="dxa"/>
            <w:right w:w="0" w:type="dxa"/>
          </w:tblCellMar>
        </w:tblPrEx>
        <w:trPr>
          <w:gridAfter w:val="6"/>
          <w:wAfter w:w="1735" w:type="dxa"/>
          <w:trHeight w:val="379" w:hRule="atLeast"/>
        </w:trPr>
        <w:tc>
          <w:tcPr>
            <w:tcW w:w="558"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single" w:color="000000" w:sz="4" w:space="0"/>
              <w:left w:val="single" w:color="000000" w:sz="4" w:space="0"/>
              <w:bottom w:val="nil"/>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建筑</w:t>
            </w:r>
          </w:p>
        </w:tc>
        <w:tc>
          <w:tcPr>
            <w:tcW w:w="912" w:type="dxa"/>
            <w:gridSpan w:val="4"/>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安装</w:t>
            </w:r>
          </w:p>
        </w:tc>
        <w:tc>
          <w:tcPr>
            <w:tcW w:w="1238" w:type="dxa"/>
            <w:gridSpan w:val="7"/>
            <w:vMerge w:val="restar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设备费</w:t>
            </w: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其它</w:t>
            </w:r>
          </w:p>
        </w:tc>
        <w:tc>
          <w:tcPr>
            <w:tcW w:w="1070" w:type="dxa"/>
            <w:gridSpan w:val="8"/>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总 价</w:t>
            </w:r>
          </w:p>
        </w:tc>
        <w:tc>
          <w:tcPr>
            <w:tcW w:w="584"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单位</w:t>
            </w:r>
          </w:p>
        </w:tc>
        <w:tc>
          <w:tcPr>
            <w:tcW w:w="1059" w:type="dxa"/>
            <w:gridSpan w:val="5"/>
            <w:vMerge w:val="restar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数量</w:t>
            </w:r>
          </w:p>
        </w:tc>
        <w:tc>
          <w:tcPr>
            <w:tcW w:w="1226" w:type="dxa"/>
            <w:gridSpan w:val="2"/>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单位造价</w:t>
            </w:r>
          </w:p>
        </w:tc>
        <w:tc>
          <w:tcPr>
            <w:tcW w:w="987"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nil"/>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工程</w:t>
            </w:r>
          </w:p>
        </w:tc>
        <w:tc>
          <w:tcPr>
            <w:tcW w:w="912" w:type="dxa"/>
            <w:gridSpan w:val="4"/>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工程</w:t>
            </w:r>
          </w:p>
        </w:tc>
        <w:tc>
          <w:tcPr>
            <w:tcW w:w="1238" w:type="dxa"/>
            <w:gridSpan w:val="7"/>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费用</w:t>
            </w:r>
          </w:p>
        </w:tc>
        <w:tc>
          <w:tcPr>
            <w:tcW w:w="1070" w:type="dxa"/>
            <w:gridSpan w:val="8"/>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584"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vMerge w:val="continue"/>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（元/m</w:t>
            </w:r>
            <w:r>
              <w:rPr>
                <w:rFonts w:hint="eastAsia" w:ascii="宋体" w:hAnsi="宋体" w:eastAsia="宋体" w:cs="宋体"/>
                <w:kern w:val="0"/>
                <w:sz w:val="20"/>
                <w:szCs w:val="20"/>
                <w:vertAlign w:val="superscript"/>
              </w:rPr>
              <w:t>2</w:t>
            </w:r>
            <w:r>
              <w:rPr>
                <w:rFonts w:hint="eastAsia" w:ascii="宋体" w:hAnsi="宋体" w:eastAsia="宋体" w:cs="宋体"/>
                <w:kern w:val="0"/>
                <w:sz w:val="20"/>
                <w:szCs w:val="20"/>
              </w:rPr>
              <w:t>）</w:t>
            </w:r>
          </w:p>
        </w:tc>
        <w:tc>
          <w:tcPr>
            <w:tcW w:w="987"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（7）</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箱变</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30.00</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 xml:space="preserve">30.00 </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座</w:t>
            </w: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1</w:t>
            </w: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right="-154" w:rightChars="-75"/>
              <w:jc w:val="center"/>
              <w:textAlignment w:val="center"/>
              <w:rPr>
                <w:rFonts w:ascii="宋体" w:hAnsi="宋体" w:eastAsia="宋体" w:cs="宋体"/>
                <w:sz w:val="20"/>
                <w:szCs w:val="20"/>
              </w:rPr>
            </w:pPr>
            <w:r>
              <w:rPr>
                <w:rFonts w:hint="eastAsia" w:ascii="宋体" w:hAnsi="宋体" w:eastAsia="宋体" w:cs="宋体"/>
                <w:kern w:val="0"/>
                <w:sz w:val="24"/>
                <w:szCs w:val="24"/>
              </w:rPr>
              <w:t>300000.00</w:t>
            </w: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b/>
                <w:kern w:val="0"/>
                <w:sz w:val="24"/>
                <w:szCs w:val="24"/>
              </w:rPr>
              <w:t>二</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b/>
                <w:kern w:val="0"/>
                <w:sz w:val="24"/>
                <w:szCs w:val="24"/>
              </w:rPr>
              <w:t>工程建设其他费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268.71</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268.71</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b/>
                <w:kern w:val="0"/>
                <w:sz w:val="24"/>
                <w:szCs w:val="24"/>
              </w:rPr>
              <w:t>4.02</w:t>
            </w: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1</w:t>
            </w:r>
          </w:p>
        </w:tc>
        <w:tc>
          <w:tcPr>
            <w:tcW w:w="2417" w:type="dxa"/>
            <w:gridSpan w:val="9"/>
            <w:tcBorders>
              <w:top w:val="nil"/>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建设单位管理费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47.01</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47.01</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kern w:val="0"/>
                <w:sz w:val="22"/>
              </w:rPr>
              <w:t>2</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b/>
                <w:sz w:val="20"/>
                <w:szCs w:val="20"/>
              </w:rPr>
            </w:pPr>
            <w:r>
              <w:rPr>
                <w:rFonts w:hint="eastAsia" w:ascii="宋体" w:hAnsi="宋体" w:eastAsia="宋体" w:cs="宋体"/>
                <w:kern w:val="0"/>
                <w:sz w:val="22"/>
              </w:rPr>
              <w:t>监理费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97.44</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97.44</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3</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工程招投标代理费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10.33</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10.33</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kern w:val="0"/>
                <w:sz w:val="22"/>
              </w:rPr>
              <w:t>4</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b/>
                <w:sz w:val="20"/>
                <w:szCs w:val="20"/>
              </w:rPr>
            </w:pPr>
            <w:r>
              <w:rPr>
                <w:rFonts w:hint="eastAsia" w:ascii="宋体" w:hAnsi="宋体" w:eastAsia="宋体" w:cs="宋体"/>
                <w:kern w:val="0"/>
                <w:sz w:val="22"/>
              </w:rPr>
              <w:t>建设工程交易费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1.20</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1.20</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5</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初步设计费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59.82</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59.82</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6</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可研编制费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18.00</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18.00</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7</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可研评审费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5.00</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5.00</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701" w:hRule="atLeast"/>
        </w:trPr>
        <w:tc>
          <w:tcPr>
            <w:tcW w:w="12340" w:type="dxa"/>
            <w:gridSpan w:val="57"/>
            <w:tcBorders>
              <w:top w:val="nil"/>
              <w:left w:val="nil"/>
              <w:bottom w:val="nil"/>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b/>
                <w:sz w:val="40"/>
                <w:szCs w:val="40"/>
              </w:rPr>
            </w:pPr>
            <w:r>
              <w:rPr>
                <w:rFonts w:hint="eastAsia" w:ascii="宋体" w:hAnsi="宋体" w:eastAsia="宋体" w:cs="宋体"/>
                <w:b/>
                <w:kern w:val="0"/>
                <w:sz w:val="40"/>
                <w:szCs w:val="40"/>
              </w:rPr>
              <w:t>嘉峪关市城市生活垃圾分类处理投资估算</w:t>
            </w:r>
          </w:p>
        </w:tc>
      </w:tr>
      <w:tr>
        <w:tblPrEx>
          <w:tblCellMar>
            <w:top w:w="0" w:type="dxa"/>
            <w:left w:w="0" w:type="dxa"/>
            <w:bottom w:w="0" w:type="dxa"/>
            <w:right w:w="0" w:type="dxa"/>
          </w:tblCellMar>
        </w:tblPrEx>
        <w:trPr>
          <w:gridAfter w:val="6"/>
          <w:wAfter w:w="1735" w:type="dxa"/>
          <w:trHeight w:val="379" w:hRule="atLeast"/>
        </w:trPr>
        <w:tc>
          <w:tcPr>
            <w:tcW w:w="558"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序号</w:t>
            </w:r>
          </w:p>
        </w:tc>
        <w:tc>
          <w:tcPr>
            <w:tcW w:w="2417" w:type="dxa"/>
            <w:gridSpan w:val="9"/>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项目或费用名称</w:t>
            </w:r>
          </w:p>
        </w:tc>
        <w:tc>
          <w:tcPr>
            <w:tcW w:w="5509" w:type="dxa"/>
            <w:gridSpan w:val="3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估  算  价  值（万元）</w:t>
            </w:r>
          </w:p>
        </w:tc>
        <w:tc>
          <w:tcPr>
            <w:tcW w:w="2869"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技 术 经 济 指 标</w:t>
            </w:r>
          </w:p>
        </w:tc>
        <w:tc>
          <w:tcPr>
            <w:tcW w:w="987" w:type="dxa"/>
            <w:gridSpan w:val="5"/>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占总投资（%）</w:t>
            </w:r>
          </w:p>
        </w:tc>
      </w:tr>
      <w:tr>
        <w:tblPrEx>
          <w:tblCellMar>
            <w:top w:w="0" w:type="dxa"/>
            <w:left w:w="0" w:type="dxa"/>
            <w:bottom w:w="0" w:type="dxa"/>
            <w:right w:w="0" w:type="dxa"/>
          </w:tblCellMar>
        </w:tblPrEx>
        <w:trPr>
          <w:gridAfter w:val="6"/>
          <w:wAfter w:w="1735" w:type="dxa"/>
          <w:trHeight w:val="296" w:hRule="atLeast"/>
        </w:trPr>
        <w:tc>
          <w:tcPr>
            <w:tcW w:w="558"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single" w:color="000000" w:sz="4" w:space="0"/>
              <w:left w:val="single" w:color="000000" w:sz="4" w:space="0"/>
              <w:bottom w:val="nil"/>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建筑</w:t>
            </w:r>
          </w:p>
        </w:tc>
        <w:tc>
          <w:tcPr>
            <w:tcW w:w="912" w:type="dxa"/>
            <w:gridSpan w:val="4"/>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安装</w:t>
            </w:r>
          </w:p>
        </w:tc>
        <w:tc>
          <w:tcPr>
            <w:tcW w:w="1238" w:type="dxa"/>
            <w:gridSpan w:val="7"/>
            <w:vMerge w:val="restar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设备费</w:t>
            </w: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其它</w:t>
            </w:r>
          </w:p>
        </w:tc>
        <w:tc>
          <w:tcPr>
            <w:tcW w:w="1070" w:type="dxa"/>
            <w:gridSpan w:val="8"/>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总 价</w:t>
            </w:r>
          </w:p>
        </w:tc>
        <w:tc>
          <w:tcPr>
            <w:tcW w:w="584"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单位</w:t>
            </w:r>
          </w:p>
        </w:tc>
        <w:tc>
          <w:tcPr>
            <w:tcW w:w="1059" w:type="dxa"/>
            <w:gridSpan w:val="5"/>
            <w:vMerge w:val="restar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数量</w:t>
            </w:r>
          </w:p>
        </w:tc>
        <w:tc>
          <w:tcPr>
            <w:tcW w:w="1226" w:type="dxa"/>
            <w:gridSpan w:val="2"/>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单位造价</w:t>
            </w:r>
          </w:p>
        </w:tc>
        <w:tc>
          <w:tcPr>
            <w:tcW w:w="987"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85" w:hRule="atLeast"/>
        </w:trPr>
        <w:tc>
          <w:tcPr>
            <w:tcW w:w="558"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nil"/>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工程</w:t>
            </w:r>
          </w:p>
        </w:tc>
        <w:tc>
          <w:tcPr>
            <w:tcW w:w="912" w:type="dxa"/>
            <w:gridSpan w:val="4"/>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工程</w:t>
            </w:r>
          </w:p>
        </w:tc>
        <w:tc>
          <w:tcPr>
            <w:tcW w:w="1238" w:type="dxa"/>
            <w:gridSpan w:val="7"/>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费用</w:t>
            </w:r>
          </w:p>
        </w:tc>
        <w:tc>
          <w:tcPr>
            <w:tcW w:w="1070" w:type="dxa"/>
            <w:gridSpan w:val="8"/>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584"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vMerge w:val="continue"/>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（元/m</w:t>
            </w:r>
            <w:r>
              <w:rPr>
                <w:rFonts w:hint="eastAsia" w:ascii="宋体" w:hAnsi="宋体" w:eastAsia="宋体" w:cs="宋体"/>
                <w:kern w:val="0"/>
                <w:sz w:val="20"/>
                <w:szCs w:val="20"/>
                <w:vertAlign w:val="superscript"/>
              </w:rPr>
              <w:t>2</w:t>
            </w:r>
            <w:r>
              <w:rPr>
                <w:rFonts w:hint="eastAsia" w:ascii="宋体" w:hAnsi="宋体" w:eastAsia="宋体" w:cs="宋体"/>
                <w:kern w:val="0"/>
                <w:sz w:val="20"/>
                <w:szCs w:val="20"/>
              </w:rPr>
              <w:t>）</w:t>
            </w:r>
          </w:p>
        </w:tc>
        <w:tc>
          <w:tcPr>
            <w:tcW w:w="987"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8</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造价咨询费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23.</w:t>
            </w:r>
            <w:r>
              <w:rPr>
                <w:rFonts w:hint="eastAsia" w:ascii="宋体" w:hAnsi="宋体" w:eastAsia="宋体" w:cs="宋体"/>
                <w:kern w:val="0"/>
                <w:sz w:val="24"/>
                <w:szCs w:val="24"/>
              </w:rPr>
              <w:t>40</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23.</w:t>
            </w:r>
            <w:r>
              <w:rPr>
                <w:rFonts w:hint="eastAsia" w:ascii="宋体" w:hAnsi="宋体" w:eastAsia="宋体" w:cs="宋体"/>
                <w:kern w:val="0"/>
                <w:sz w:val="24"/>
                <w:szCs w:val="24"/>
              </w:rPr>
              <w:t>40</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kern w:val="0"/>
                <w:sz w:val="22"/>
              </w:rPr>
              <w:t>9</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b/>
                <w:sz w:val="20"/>
                <w:szCs w:val="20"/>
              </w:rPr>
            </w:pPr>
            <w:r>
              <w:rPr>
                <w:rFonts w:hint="eastAsia" w:ascii="宋体" w:hAnsi="宋体" w:eastAsia="宋体" w:cs="宋体"/>
                <w:kern w:val="0"/>
                <w:sz w:val="22"/>
              </w:rPr>
              <w:t>环境影响评价费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6.</w:t>
            </w:r>
            <w:r>
              <w:rPr>
                <w:rFonts w:hint="eastAsia" w:ascii="宋体" w:hAnsi="宋体" w:eastAsia="宋体" w:cs="宋体"/>
                <w:kern w:val="0"/>
                <w:sz w:val="24"/>
                <w:szCs w:val="24"/>
              </w:rPr>
              <w:t>5</w:t>
            </w:r>
            <w:r>
              <w:rPr>
                <w:rFonts w:ascii="宋体" w:hAnsi="宋体" w:eastAsia="宋体" w:cs="宋体"/>
                <w:kern w:val="0"/>
                <w:sz w:val="24"/>
                <w:szCs w:val="24"/>
              </w:rPr>
              <w:t>0</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kern w:val="0"/>
                <w:sz w:val="24"/>
                <w:szCs w:val="24"/>
              </w:rPr>
            </w:pPr>
            <w:r>
              <w:rPr>
                <w:rFonts w:ascii="宋体" w:hAnsi="宋体" w:eastAsia="宋体" w:cs="宋体"/>
                <w:kern w:val="0"/>
                <w:sz w:val="24"/>
                <w:szCs w:val="24"/>
              </w:rPr>
              <w:t>6.</w:t>
            </w:r>
            <w:r>
              <w:rPr>
                <w:rFonts w:hint="eastAsia" w:ascii="宋体" w:hAnsi="宋体" w:eastAsia="宋体" w:cs="宋体"/>
                <w:kern w:val="0"/>
                <w:sz w:val="24"/>
                <w:szCs w:val="24"/>
              </w:rPr>
              <w:t>5</w:t>
            </w:r>
            <w:r>
              <w:rPr>
                <w:rFonts w:ascii="宋体" w:hAnsi="宋体" w:eastAsia="宋体" w:cs="宋体"/>
                <w:kern w:val="0"/>
                <w:sz w:val="24"/>
                <w:szCs w:val="24"/>
              </w:rPr>
              <w:t>0</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b/>
                <w:kern w:val="0"/>
                <w:sz w:val="24"/>
                <w:szCs w:val="24"/>
              </w:rPr>
              <w:t>三</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kern w:val="0"/>
                <w:sz w:val="22"/>
              </w:rPr>
            </w:pPr>
            <w:r>
              <w:rPr>
                <w:rFonts w:hint="eastAsia" w:ascii="宋体" w:hAnsi="宋体" w:eastAsia="宋体" w:cs="宋体"/>
                <w:b/>
                <w:kern w:val="0"/>
                <w:sz w:val="24"/>
                <w:szCs w:val="24"/>
              </w:rPr>
              <w:t>预备费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b/>
                <w:kern w:val="0"/>
                <w:sz w:val="24"/>
                <w:szCs w:val="24"/>
              </w:rPr>
              <w:t>130.96</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b/>
                <w:kern w:val="0"/>
                <w:sz w:val="24"/>
                <w:szCs w:val="24"/>
              </w:rPr>
              <w:t>130.96</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b/>
                <w:kern w:val="0"/>
                <w:sz w:val="24"/>
                <w:szCs w:val="24"/>
              </w:rPr>
              <w:t>1.96</w:t>
            </w: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kern w:val="0"/>
                <w:sz w:val="22"/>
              </w:rPr>
              <w:t>1</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kern w:val="0"/>
                <w:sz w:val="22"/>
              </w:rPr>
            </w:pPr>
            <w:r>
              <w:rPr>
                <w:rFonts w:hint="eastAsia" w:ascii="宋体" w:hAnsi="宋体" w:eastAsia="宋体" w:cs="宋体"/>
                <w:kern w:val="0"/>
                <w:sz w:val="22"/>
              </w:rPr>
              <w:t>基本预备费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130.96</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130.96</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r>
              <w:rPr>
                <w:rFonts w:hint="eastAsia" w:ascii="宋体" w:hAnsi="宋体" w:eastAsia="宋体" w:cs="宋体"/>
                <w:b/>
                <w:sz w:val="20"/>
                <w:szCs w:val="20"/>
              </w:rPr>
              <w:t>2</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kern w:val="0"/>
                <w:sz w:val="22"/>
              </w:rPr>
            </w:pPr>
            <w:r>
              <w:rPr>
                <w:rFonts w:hint="eastAsia" w:ascii="宋体" w:hAnsi="宋体" w:eastAsia="宋体" w:cs="宋体"/>
                <w:kern w:val="0"/>
                <w:sz w:val="22"/>
              </w:rPr>
              <w:t>价差预备费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0.00</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0.00</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b/>
                <w:kern w:val="0"/>
                <w:sz w:val="22"/>
              </w:rPr>
              <w:t>四</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kern w:val="0"/>
                <w:sz w:val="22"/>
              </w:rPr>
            </w:pPr>
            <w:r>
              <w:rPr>
                <w:rFonts w:hint="eastAsia" w:ascii="宋体" w:hAnsi="宋体" w:eastAsia="宋体" w:cs="宋体"/>
                <w:b/>
                <w:kern w:val="0"/>
                <w:sz w:val="22"/>
              </w:rPr>
              <w:t>运营及人工费用</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b/>
                <w:kern w:val="0"/>
                <w:sz w:val="24"/>
                <w:szCs w:val="24"/>
              </w:rPr>
              <w:t>1858.25</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b/>
                <w:kern w:val="0"/>
                <w:sz w:val="24"/>
                <w:szCs w:val="24"/>
              </w:rPr>
              <w:t>1858.25</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b/>
                <w:kern w:val="0"/>
                <w:sz w:val="24"/>
                <w:szCs w:val="24"/>
              </w:rPr>
              <w:t>27.79</w:t>
            </w: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kern w:val="0"/>
                <w:sz w:val="22"/>
              </w:rPr>
              <w:t>1</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kern w:val="0"/>
                <w:sz w:val="22"/>
              </w:rPr>
            </w:pPr>
            <w:r>
              <w:rPr>
                <w:rFonts w:hint="eastAsia" w:ascii="宋体" w:hAnsi="宋体" w:eastAsia="宋体" w:cs="宋体"/>
                <w:kern w:val="0"/>
                <w:sz w:val="22"/>
              </w:rPr>
              <w:t>垃圾分类运营费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855.32</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855.32</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r>
      <w:tr>
        <w:tblPrEx>
          <w:tblCellMar>
            <w:top w:w="0" w:type="dxa"/>
            <w:left w:w="0" w:type="dxa"/>
            <w:bottom w:w="0" w:type="dxa"/>
            <w:right w:w="0" w:type="dxa"/>
          </w:tblCellMar>
        </w:tblPrEx>
        <w:trPr>
          <w:gridAfter w:val="6"/>
          <w:wAfter w:w="1735"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sz w:val="20"/>
                <w:szCs w:val="20"/>
              </w:rPr>
            </w:pPr>
            <w:r>
              <w:rPr>
                <w:rFonts w:hint="eastAsia" w:ascii="宋体" w:hAnsi="宋体" w:eastAsia="宋体" w:cs="宋体"/>
                <w:kern w:val="0"/>
                <w:sz w:val="22"/>
              </w:rPr>
              <w:t>2</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kern w:val="0"/>
                <w:sz w:val="22"/>
              </w:rPr>
            </w:pPr>
            <w:r>
              <w:rPr>
                <w:rFonts w:hint="eastAsia" w:ascii="宋体" w:hAnsi="宋体" w:eastAsia="宋体" w:cs="宋体"/>
                <w:kern w:val="0"/>
                <w:sz w:val="22"/>
              </w:rPr>
              <w:t>垃圾分类人工费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849.59</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849.59</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r>
      <w:tr>
        <w:tblPrEx>
          <w:tblCellMar>
            <w:top w:w="0" w:type="dxa"/>
            <w:left w:w="0" w:type="dxa"/>
            <w:bottom w:w="0" w:type="dxa"/>
            <w:right w:w="0" w:type="dxa"/>
          </w:tblCellMar>
        </w:tblPrEx>
        <w:trPr>
          <w:gridAfter w:val="6"/>
          <w:wAfter w:w="1735" w:type="dxa"/>
          <w:trHeight w:val="284"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kern w:val="0"/>
                <w:sz w:val="24"/>
                <w:szCs w:val="24"/>
              </w:rPr>
            </w:pPr>
            <w:r>
              <w:rPr>
                <w:rFonts w:hint="eastAsia" w:ascii="宋体" w:hAnsi="宋体" w:eastAsia="宋体" w:cs="宋体"/>
                <w:kern w:val="0"/>
                <w:sz w:val="22"/>
              </w:rPr>
              <w:t>3</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b/>
                <w:kern w:val="0"/>
                <w:sz w:val="24"/>
                <w:szCs w:val="24"/>
              </w:rPr>
            </w:pPr>
            <w:r>
              <w:rPr>
                <w:rFonts w:hint="eastAsia" w:ascii="宋体" w:hAnsi="宋体" w:eastAsia="宋体" w:cs="宋体"/>
                <w:kern w:val="0"/>
                <w:sz w:val="22"/>
              </w:rPr>
              <w:t>分拣中心运营费</w:t>
            </w:r>
          </w:p>
        </w:tc>
        <w:tc>
          <w:tcPr>
            <w:tcW w:w="1051"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kern w:val="0"/>
                <w:sz w:val="24"/>
                <w:szCs w:val="24"/>
              </w:rPr>
            </w:pPr>
          </w:p>
        </w:tc>
        <w:tc>
          <w:tcPr>
            <w:tcW w:w="912"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kern w:val="0"/>
                <w:sz w:val="24"/>
                <w:szCs w:val="24"/>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kern w:val="0"/>
                <w:sz w:val="24"/>
                <w:szCs w:val="24"/>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kern w:val="0"/>
                <w:sz w:val="24"/>
                <w:szCs w:val="24"/>
              </w:rPr>
            </w:pPr>
            <w:r>
              <w:rPr>
                <w:rFonts w:hint="eastAsia" w:ascii="宋体" w:hAnsi="宋体" w:eastAsia="宋体" w:cs="宋体"/>
                <w:kern w:val="0"/>
                <w:sz w:val="24"/>
                <w:szCs w:val="24"/>
              </w:rPr>
              <w:t>36.40</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b/>
                <w:kern w:val="0"/>
                <w:sz w:val="24"/>
                <w:szCs w:val="24"/>
              </w:rPr>
            </w:pPr>
            <w:r>
              <w:rPr>
                <w:rFonts w:hint="eastAsia" w:ascii="宋体" w:hAnsi="宋体" w:eastAsia="宋体" w:cs="宋体"/>
                <w:kern w:val="0"/>
                <w:sz w:val="24"/>
                <w:szCs w:val="24"/>
              </w:rPr>
              <w:t>36.40</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kern w:val="0"/>
                <w:sz w:val="24"/>
                <w:szCs w:val="24"/>
              </w:rPr>
            </w:pPr>
          </w:p>
        </w:tc>
        <w:tc>
          <w:tcPr>
            <w:tcW w:w="1059"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kern w:val="0"/>
                <w:sz w:val="24"/>
                <w:szCs w:val="24"/>
              </w:rPr>
            </w:pPr>
          </w:p>
        </w:tc>
        <w:tc>
          <w:tcPr>
            <w:tcW w:w="12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kern w:val="0"/>
                <w:sz w:val="24"/>
                <w:szCs w:val="24"/>
              </w:rPr>
            </w:pPr>
          </w:p>
        </w:tc>
        <w:tc>
          <w:tcPr>
            <w:tcW w:w="98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sz w:val="20"/>
                <w:szCs w:val="20"/>
              </w:rPr>
            </w:pPr>
          </w:p>
        </w:tc>
      </w:tr>
      <w:tr>
        <w:tblPrEx>
          <w:tblCellMar>
            <w:top w:w="0" w:type="dxa"/>
            <w:left w:w="0" w:type="dxa"/>
            <w:bottom w:w="0" w:type="dxa"/>
            <w:right w:w="0" w:type="dxa"/>
          </w:tblCellMar>
        </w:tblPrEx>
        <w:trPr>
          <w:gridAfter w:val="6"/>
          <w:wAfter w:w="1735" w:type="dxa"/>
          <w:trHeight w:val="701" w:hRule="atLeast"/>
        </w:trPr>
        <w:tc>
          <w:tcPr>
            <w:tcW w:w="12340" w:type="dxa"/>
            <w:gridSpan w:val="57"/>
            <w:tcBorders>
              <w:top w:val="nil"/>
              <w:left w:val="nil"/>
              <w:bottom w:val="nil"/>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b/>
                <w:sz w:val="40"/>
                <w:szCs w:val="40"/>
              </w:rPr>
            </w:pPr>
            <w:r>
              <w:rPr>
                <w:rFonts w:hint="eastAsia" w:ascii="宋体" w:hAnsi="宋体" w:eastAsia="宋体" w:cs="宋体"/>
                <w:b/>
                <w:kern w:val="0"/>
                <w:sz w:val="40"/>
                <w:szCs w:val="40"/>
              </w:rPr>
              <w:t>嘉峪关市城市生活垃圾分类处理投资估算</w:t>
            </w:r>
          </w:p>
        </w:tc>
      </w:tr>
      <w:tr>
        <w:tblPrEx>
          <w:tblCellMar>
            <w:top w:w="0" w:type="dxa"/>
            <w:left w:w="0" w:type="dxa"/>
            <w:bottom w:w="0" w:type="dxa"/>
            <w:right w:w="0" w:type="dxa"/>
          </w:tblCellMar>
        </w:tblPrEx>
        <w:trPr>
          <w:gridAfter w:val="6"/>
          <w:wAfter w:w="1735" w:type="dxa"/>
          <w:trHeight w:val="379" w:hRule="atLeast"/>
        </w:trPr>
        <w:tc>
          <w:tcPr>
            <w:tcW w:w="558"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序号</w:t>
            </w:r>
          </w:p>
        </w:tc>
        <w:tc>
          <w:tcPr>
            <w:tcW w:w="2417" w:type="dxa"/>
            <w:gridSpan w:val="9"/>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项目或费用名称</w:t>
            </w:r>
          </w:p>
        </w:tc>
        <w:tc>
          <w:tcPr>
            <w:tcW w:w="5509" w:type="dxa"/>
            <w:gridSpan w:val="3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估  算  价  值（万元）</w:t>
            </w:r>
          </w:p>
        </w:tc>
        <w:tc>
          <w:tcPr>
            <w:tcW w:w="2869"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技 术 经 济 指 标</w:t>
            </w:r>
          </w:p>
        </w:tc>
        <w:tc>
          <w:tcPr>
            <w:tcW w:w="987" w:type="dxa"/>
            <w:gridSpan w:val="5"/>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占总投资（%）</w:t>
            </w:r>
          </w:p>
        </w:tc>
      </w:tr>
      <w:tr>
        <w:tblPrEx>
          <w:tblCellMar>
            <w:top w:w="0" w:type="dxa"/>
            <w:left w:w="0" w:type="dxa"/>
            <w:bottom w:w="0" w:type="dxa"/>
            <w:right w:w="0" w:type="dxa"/>
          </w:tblCellMar>
        </w:tblPrEx>
        <w:trPr>
          <w:gridAfter w:val="6"/>
          <w:wAfter w:w="1735" w:type="dxa"/>
          <w:trHeight w:val="296" w:hRule="atLeast"/>
        </w:trPr>
        <w:tc>
          <w:tcPr>
            <w:tcW w:w="558"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single" w:color="000000" w:sz="4" w:space="0"/>
              <w:left w:val="single" w:color="000000" w:sz="4" w:space="0"/>
              <w:bottom w:val="nil"/>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建筑</w:t>
            </w:r>
          </w:p>
        </w:tc>
        <w:tc>
          <w:tcPr>
            <w:tcW w:w="912" w:type="dxa"/>
            <w:gridSpan w:val="4"/>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安装</w:t>
            </w:r>
          </w:p>
        </w:tc>
        <w:tc>
          <w:tcPr>
            <w:tcW w:w="1238" w:type="dxa"/>
            <w:gridSpan w:val="7"/>
            <w:vMerge w:val="restar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设备费</w:t>
            </w: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其它</w:t>
            </w:r>
          </w:p>
        </w:tc>
        <w:tc>
          <w:tcPr>
            <w:tcW w:w="1070" w:type="dxa"/>
            <w:gridSpan w:val="8"/>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总 价</w:t>
            </w:r>
          </w:p>
        </w:tc>
        <w:tc>
          <w:tcPr>
            <w:tcW w:w="584"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单位</w:t>
            </w:r>
          </w:p>
        </w:tc>
        <w:tc>
          <w:tcPr>
            <w:tcW w:w="1059" w:type="dxa"/>
            <w:gridSpan w:val="5"/>
            <w:vMerge w:val="restar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数量</w:t>
            </w:r>
          </w:p>
        </w:tc>
        <w:tc>
          <w:tcPr>
            <w:tcW w:w="1226" w:type="dxa"/>
            <w:gridSpan w:val="2"/>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单位造价</w:t>
            </w:r>
          </w:p>
        </w:tc>
        <w:tc>
          <w:tcPr>
            <w:tcW w:w="987"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85" w:hRule="atLeast"/>
        </w:trPr>
        <w:tc>
          <w:tcPr>
            <w:tcW w:w="558"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nil"/>
              <w:left w:val="single" w:color="000000" w:sz="4" w:space="0"/>
              <w:bottom w:val="single" w:color="auto"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工程</w:t>
            </w:r>
          </w:p>
        </w:tc>
        <w:tc>
          <w:tcPr>
            <w:tcW w:w="912" w:type="dxa"/>
            <w:gridSpan w:val="4"/>
            <w:tcBorders>
              <w:top w:val="nil"/>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工程</w:t>
            </w:r>
          </w:p>
        </w:tc>
        <w:tc>
          <w:tcPr>
            <w:tcW w:w="1238" w:type="dxa"/>
            <w:gridSpan w:val="7"/>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费用</w:t>
            </w:r>
          </w:p>
        </w:tc>
        <w:tc>
          <w:tcPr>
            <w:tcW w:w="1070" w:type="dxa"/>
            <w:gridSpan w:val="8"/>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584"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vMerge w:val="continue"/>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nil"/>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（元/m</w:t>
            </w:r>
            <w:r>
              <w:rPr>
                <w:rFonts w:hint="eastAsia" w:ascii="宋体" w:hAnsi="宋体" w:eastAsia="宋体" w:cs="宋体"/>
                <w:kern w:val="0"/>
                <w:sz w:val="20"/>
                <w:szCs w:val="20"/>
                <w:vertAlign w:val="superscript"/>
              </w:rPr>
              <w:t>2</w:t>
            </w:r>
            <w:r>
              <w:rPr>
                <w:rFonts w:hint="eastAsia" w:ascii="宋体" w:hAnsi="宋体" w:eastAsia="宋体" w:cs="宋体"/>
                <w:kern w:val="0"/>
                <w:sz w:val="20"/>
                <w:szCs w:val="20"/>
              </w:rPr>
              <w:t>）</w:t>
            </w:r>
          </w:p>
        </w:tc>
        <w:tc>
          <w:tcPr>
            <w:tcW w:w="987" w:type="dxa"/>
            <w:gridSpan w:val="5"/>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85"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2"/>
              </w:rPr>
              <w:t>4</w:t>
            </w:r>
          </w:p>
        </w:tc>
        <w:tc>
          <w:tcPr>
            <w:tcW w:w="2417" w:type="dxa"/>
            <w:gridSpan w:val="9"/>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2"/>
              </w:rPr>
              <w:t>分拣中心人工费</w:t>
            </w:r>
          </w:p>
        </w:tc>
        <w:tc>
          <w:tcPr>
            <w:tcW w:w="1051" w:type="dxa"/>
            <w:gridSpan w:val="6"/>
            <w:tcBorders>
              <w:top w:val="single" w:color="auto" w:sz="4" w:space="0"/>
              <w:left w:val="single" w:color="auto" w:sz="4" w:space="0"/>
              <w:bottom w:val="single" w:color="auto" w:sz="4" w:space="0"/>
              <w:right w:val="nil"/>
            </w:tcBorders>
            <w:shd w:val="clear" w:color="auto" w:fill="auto"/>
            <w:tcMar>
              <w:top w:w="15" w:type="dxa"/>
              <w:left w:w="15" w:type="dxa"/>
              <w:right w:w="15" w:type="dxa"/>
            </w:tcMar>
            <w:vAlign w:val="center"/>
          </w:tcPr>
          <w:p>
            <w:pPr>
              <w:jc w:val="center"/>
              <w:rPr>
                <w:rFonts w:ascii="宋体" w:hAnsi="宋体" w:eastAsia="宋体" w:cs="宋体"/>
                <w:kern w:val="0"/>
                <w:sz w:val="20"/>
                <w:szCs w:val="20"/>
              </w:rPr>
            </w:pPr>
          </w:p>
        </w:tc>
        <w:tc>
          <w:tcPr>
            <w:tcW w:w="912" w:type="dxa"/>
            <w:gridSpan w:val="4"/>
            <w:tcBorders>
              <w:top w:val="single" w:color="auto" w:sz="4" w:space="0"/>
              <w:left w:val="single" w:color="000000" w:sz="4" w:space="0"/>
              <w:bottom w:val="single" w:color="auto" w:sz="4" w:space="0"/>
              <w:right w:val="single" w:color="auto" w:sz="4" w:space="0"/>
            </w:tcBorders>
            <w:shd w:val="clear" w:color="auto" w:fill="auto"/>
            <w:tcMar>
              <w:top w:w="15" w:type="dxa"/>
              <w:left w:w="15" w:type="dxa"/>
              <w:right w:w="15" w:type="dxa"/>
            </w:tcMar>
            <w:vAlign w:val="center"/>
          </w:tcPr>
          <w:p>
            <w:pPr>
              <w:jc w:val="center"/>
              <w:rPr>
                <w:rFonts w:ascii="宋体" w:hAnsi="宋体" w:eastAsia="宋体" w:cs="宋体"/>
                <w:kern w:val="0"/>
                <w:sz w:val="20"/>
                <w:szCs w:val="20"/>
              </w:rPr>
            </w:pPr>
          </w:p>
        </w:tc>
        <w:tc>
          <w:tcPr>
            <w:tcW w:w="1238" w:type="dxa"/>
            <w:gridSpan w:val="7"/>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r>
              <w:rPr>
                <w:rFonts w:hint="eastAsia" w:ascii="宋体" w:hAnsi="宋体" w:eastAsia="宋体" w:cs="宋体"/>
                <w:kern w:val="0"/>
                <w:sz w:val="24"/>
                <w:szCs w:val="24"/>
              </w:rPr>
              <w:t>116.95</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4"/>
                <w:szCs w:val="24"/>
              </w:rPr>
              <w:t>116.95</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jc w:val="center"/>
              <w:rPr>
                <w:rFonts w:ascii="宋体" w:hAnsi="宋体" w:eastAsia="宋体" w:cs="宋体"/>
                <w:kern w:val="0"/>
                <w:sz w:val="20"/>
                <w:szCs w:val="20"/>
              </w:rPr>
            </w:pPr>
          </w:p>
        </w:tc>
        <w:tc>
          <w:tcPr>
            <w:tcW w:w="987" w:type="dxa"/>
            <w:gridSpan w:val="5"/>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85"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b/>
                <w:kern w:val="0"/>
                <w:sz w:val="24"/>
                <w:szCs w:val="24"/>
              </w:rPr>
              <w:t>五</w:t>
            </w: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b/>
                <w:kern w:val="0"/>
                <w:sz w:val="24"/>
                <w:szCs w:val="24"/>
              </w:rPr>
              <w:t>建设项目总投资</w:t>
            </w:r>
          </w:p>
        </w:tc>
        <w:tc>
          <w:tcPr>
            <w:tcW w:w="1051" w:type="dxa"/>
            <w:gridSpan w:val="6"/>
            <w:tcBorders>
              <w:top w:val="single" w:color="auto" w:sz="4" w:space="0"/>
              <w:left w:val="single" w:color="000000" w:sz="4" w:space="0"/>
              <w:bottom w:val="single" w:color="auto" w:sz="4" w:space="0"/>
              <w:right w:val="nil"/>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 xml:space="preserve">1232.11 </w:t>
            </w:r>
          </w:p>
        </w:tc>
        <w:tc>
          <w:tcPr>
            <w:tcW w:w="912" w:type="dxa"/>
            <w:gridSpan w:val="4"/>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 xml:space="preserve">649.72 </w:t>
            </w:r>
          </w:p>
        </w:tc>
        <w:tc>
          <w:tcPr>
            <w:tcW w:w="1238" w:type="dxa"/>
            <w:gridSpan w:val="7"/>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 xml:space="preserve">2266.48 </w:t>
            </w: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 xml:space="preserve">2257.92 </w:t>
            </w: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 xml:space="preserve">6687.18 </w:t>
            </w: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户</w:t>
            </w:r>
          </w:p>
        </w:tc>
        <w:tc>
          <w:tcPr>
            <w:tcW w:w="1059" w:type="dxa"/>
            <w:gridSpan w:val="5"/>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 xml:space="preserve">95964 </w:t>
            </w:r>
          </w:p>
        </w:tc>
        <w:tc>
          <w:tcPr>
            <w:tcW w:w="1226" w:type="dxa"/>
            <w:gridSpan w:val="2"/>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tcPr>
          <w:p>
            <w:pPr>
              <w:widowControl/>
              <w:jc w:val="center"/>
              <w:textAlignment w:val="center"/>
              <w:rPr>
                <w:rFonts w:ascii="宋体" w:hAnsi="宋体" w:eastAsia="宋体" w:cs="宋体"/>
                <w:b/>
                <w:kern w:val="0"/>
                <w:sz w:val="24"/>
                <w:szCs w:val="24"/>
              </w:rPr>
            </w:pPr>
            <w:r>
              <w:rPr>
                <w:rFonts w:ascii="宋体" w:hAnsi="宋体" w:eastAsia="宋体" w:cs="宋体"/>
                <w:b/>
                <w:kern w:val="0"/>
                <w:sz w:val="24"/>
                <w:szCs w:val="24"/>
              </w:rPr>
              <w:t xml:space="preserve">696.85 </w:t>
            </w:r>
          </w:p>
        </w:tc>
        <w:tc>
          <w:tcPr>
            <w:tcW w:w="987" w:type="dxa"/>
            <w:gridSpan w:val="5"/>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b/>
                <w:kern w:val="0"/>
                <w:sz w:val="24"/>
                <w:szCs w:val="24"/>
              </w:rPr>
            </w:pPr>
          </w:p>
        </w:tc>
      </w:tr>
      <w:tr>
        <w:tblPrEx>
          <w:tblCellMar>
            <w:top w:w="0" w:type="dxa"/>
            <w:left w:w="0" w:type="dxa"/>
            <w:bottom w:w="0" w:type="dxa"/>
            <w:right w:w="0" w:type="dxa"/>
          </w:tblCellMar>
        </w:tblPrEx>
        <w:trPr>
          <w:gridAfter w:val="6"/>
          <w:wAfter w:w="1735" w:type="dxa"/>
          <w:trHeight w:val="85"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single" w:color="auto" w:sz="4" w:space="0"/>
              <w:left w:val="single" w:color="000000" w:sz="4" w:space="0"/>
              <w:bottom w:val="single" w:color="auto"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12" w:type="dxa"/>
            <w:gridSpan w:val="4"/>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238" w:type="dxa"/>
            <w:gridSpan w:val="7"/>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87" w:type="dxa"/>
            <w:gridSpan w:val="5"/>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85"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single" w:color="auto" w:sz="4" w:space="0"/>
              <w:left w:val="single" w:color="000000" w:sz="4" w:space="0"/>
              <w:bottom w:val="single" w:color="auto"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12" w:type="dxa"/>
            <w:gridSpan w:val="4"/>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238" w:type="dxa"/>
            <w:gridSpan w:val="7"/>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87" w:type="dxa"/>
            <w:gridSpan w:val="5"/>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85"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single" w:color="auto" w:sz="4" w:space="0"/>
              <w:left w:val="single" w:color="000000" w:sz="4" w:space="0"/>
              <w:bottom w:val="single" w:color="auto"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12" w:type="dxa"/>
            <w:gridSpan w:val="4"/>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238" w:type="dxa"/>
            <w:gridSpan w:val="7"/>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87" w:type="dxa"/>
            <w:gridSpan w:val="5"/>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85"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single" w:color="auto" w:sz="4" w:space="0"/>
              <w:left w:val="single" w:color="000000" w:sz="4" w:space="0"/>
              <w:bottom w:val="single" w:color="auto"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12" w:type="dxa"/>
            <w:gridSpan w:val="4"/>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238" w:type="dxa"/>
            <w:gridSpan w:val="7"/>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87" w:type="dxa"/>
            <w:gridSpan w:val="5"/>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85"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single" w:color="auto" w:sz="4" w:space="0"/>
              <w:left w:val="single" w:color="000000" w:sz="4" w:space="0"/>
              <w:bottom w:val="single" w:color="auto"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12" w:type="dxa"/>
            <w:gridSpan w:val="4"/>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238" w:type="dxa"/>
            <w:gridSpan w:val="7"/>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87" w:type="dxa"/>
            <w:gridSpan w:val="5"/>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85"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single" w:color="auto" w:sz="4" w:space="0"/>
              <w:left w:val="single" w:color="000000" w:sz="4" w:space="0"/>
              <w:bottom w:val="single" w:color="auto"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12" w:type="dxa"/>
            <w:gridSpan w:val="4"/>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238" w:type="dxa"/>
            <w:gridSpan w:val="7"/>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87" w:type="dxa"/>
            <w:gridSpan w:val="5"/>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6"/>
          <w:wAfter w:w="1735" w:type="dxa"/>
          <w:trHeight w:val="85"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2417"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1" w:type="dxa"/>
            <w:gridSpan w:val="6"/>
            <w:tcBorders>
              <w:top w:val="single" w:color="auto"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12" w:type="dxa"/>
            <w:gridSpan w:val="4"/>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238" w:type="dxa"/>
            <w:gridSpan w:val="7"/>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38" w:type="dxa"/>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1070"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584"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059" w:type="dxa"/>
            <w:gridSpan w:val="5"/>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c>
          <w:tcPr>
            <w:tcW w:w="1226" w:type="dxa"/>
            <w:gridSpan w:val="2"/>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0"/>
                <w:szCs w:val="20"/>
              </w:rPr>
            </w:pPr>
          </w:p>
        </w:tc>
        <w:tc>
          <w:tcPr>
            <w:tcW w:w="987" w:type="dxa"/>
            <w:gridSpan w:val="5"/>
            <w:tcBorders>
              <w:top w:val="single" w:color="000000" w:sz="4" w:space="0"/>
              <w:left w:val="single" w:color="auto"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宋体" w:hAnsi="宋体" w:eastAsia="宋体" w:cs="宋体"/>
                <w:sz w:val="20"/>
                <w:szCs w:val="20"/>
              </w:rPr>
            </w:pPr>
          </w:p>
        </w:tc>
      </w:tr>
      <w:tr>
        <w:tblPrEx>
          <w:tblCellMar>
            <w:top w:w="0" w:type="dxa"/>
            <w:left w:w="0" w:type="dxa"/>
            <w:bottom w:w="0" w:type="dxa"/>
            <w:right w:w="0" w:type="dxa"/>
          </w:tblCellMar>
        </w:tblPrEx>
        <w:trPr>
          <w:gridAfter w:val="4"/>
          <w:wAfter w:w="824" w:type="dxa"/>
          <w:trHeight w:val="1231" w:hRule="atLeast"/>
        </w:trPr>
        <w:tc>
          <w:tcPr>
            <w:tcW w:w="13251" w:type="dxa"/>
            <w:gridSpan w:val="59"/>
            <w:tcBorders>
              <w:top w:val="nil"/>
              <w:left w:val="nil"/>
              <w:bottom w:val="nil"/>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48"/>
                <w:szCs w:val="48"/>
              </w:rPr>
            </w:pPr>
            <w:r>
              <w:rPr>
                <w:rFonts w:hint="eastAsia" w:ascii="宋体" w:hAnsi="宋体" w:eastAsia="宋体" w:cs="宋体"/>
                <w:kern w:val="0"/>
                <w:sz w:val="48"/>
                <w:szCs w:val="48"/>
              </w:rPr>
              <w:t>分拣中心设备明细表</w:t>
            </w:r>
          </w:p>
        </w:tc>
      </w:tr>
      <w:tr>
        <w:tblPrEx>
          <w:tblCellMar>
            <w:top w:w="0" w:type="dxa"/>
            <w:left w:w="0" w:type="dxa"/>
            <w:bottom w:w="0" w:type="dxa"/>
            <w:right w:w="0" w:type="dxa"/>
          </w:tblCellMar>
        </w:tblPrEx>
        <w:trPr>
          <w:gridAfter w:val="4"/>
          <w:wAfter w:w="824" w:type="dxa"/>
          <w:trHeight w:val="511" w:hRule="atLeast"/>
        </w:trPr>
        <w:tc>
          <w:tcPr>
            <w:tcW w:w="859"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序号</w:t>
            </w:r>
          </w:p>
        </w:tc>
        <w:tc>
          <w:tcPr>
            <w:tcW w:w="2537"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设备名称</w:t>
            </w:r>
          </w:p>
        </w:tc>
        <w:tc>
          <w:tcPr>
            <w:tcW w:w="2680"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型号</w:t>
            </w:r>
          </w:p>
        </w:tc>
        <w:tc>
          <w:tcPr>
            <w:tcW w:w="845"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单位</w:t>
            </w:r>
          </w:p>
        </w:tc>
        <w:tc>
          <w:tcPr>
            <w:tcW w:w="987"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数量</w:t>
            </w:r>
          </w:p>
        </w:tc>
        <w:tc>
          <w:tcPr>
            <w:tcW w:w="1974" w:type="dxa"/>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市场单价（万元）</w:t>
            </w:r>
          </w:p>
        </w:tc>
        <w:tc>
          <w:tcPr>
            <w:tcW w:w="2256"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市场总价（万元）</w:t>
            </w:r>
          </w:p>
        </w:tc>
        <w:tc>
          <w:tcPr>
            <w:tcW w:w="1113"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备注</w:t>
            </w:r>
          </w:p>
        </w:tc>
      </w:tr>
      <w:tr>
        <w:tblPrEx>
          <w:tblCellMar>
            <w:top w:w="0" w:type="dxa"/>
            <w:left w:w="0" w:type="dxa"/>
            <w:bottom w:w="0" w:type="dxa"/>
            <w:right w:w="0" w:type="dxa"/>
          </w:tblCellMar>
        </w:tblPrEx>
        <w:trPr>
          <w:gridAfter w:val="4"/>
          <w:wAfter w:w="824" w:type="dxa"/>
          <w:trHeight w:val="511" w:hRule="atLeast"/>
        </w:trPr>
        <w:tc>
          <w:tcPr>
            <w:tcW w:w="859"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w:t>
            </w:r>
          </w:p>
        </w:tc>
        <w:tc>
          <w:tcPr>
            <w:tcW w:w="2537"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均匀给料机</w:t>
            </w:r>
          </w:p>
        </w:tc>
        <w:tc>
          <w:tcPr>
            <w:tcW w:w="2680"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BD1500/8</w:t>
            </w:r>
          </w:p>
        </w:tc>
        <w:tc>
          <w:tcPr>
            <w:tcW w:w="845"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套</w:t>
            </w:r>
          </w:p>
        </w:tc>
        <w:tc>
          <w:tcPr>
            <w:tcW w:w="987"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w:t>
            </w:r>
          </w:p>
        </w:tc>
        <w:tc>
          <w:tcPr>
            <w:tcW w:w="1974"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19.6</w:t>
            </w:r>
          </w:p>
        </w:tc>
        <w:tc>
          <w:tcPr>
            <w:tcW w:w="2256"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19.6</w:t>
            </w:r>
          </w:p>
        </w:tc>
        <w:tc>
          <w:tcPr>
            <w:tcW w:w="1113"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4"/>
          <w:wAfter w:w="824" w:type="dxa"/>
          <w:trHeight w:val="511" w:hRule="atLeast"/>
        </w:trPr>
        <w:tc>
          <w:tcPr>
            <w:tcW w:w="859"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2</w:t>
            </w:r>
          </w:p>
        </w:tc>
        <w:tc>
          <w:tcPr>
            <w:tcW w:w="2537"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储料斗</w:t>
            </w:r>
          </w:p>
        </w:tc>
        <w:tc>
          <w:tcPr>
            <w:tcW w:w="2680"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845"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套</w:t>
            </w:r>
          </w:p>
        </w:tc>
        <w:tc>
          <w:tcPr>
            <w:tcW w:w="987"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w:t>
            </w:r>
          </w:p>
        </w:tc>
        <w:tc>
          <w:tcPr>
            <w:tcW w:w="1974"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4.2</w:t>
            </w:r>
          </w:p>
        </w:tc>
        <w:tc>
          <w:tcPr>
            <w:tcW w:w="2256"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4.2</w:t>
            </w:r>
          </w:p>
        </w:tc>
        <w:tc>
          <w:tcPr>
            <w:tcW w:w="1113"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4"/>
          <w:wAfter w:w="824" w:type="dxa"/>
          <w:trHeight w:val="511" w:hRule="atLeast"/>
        </w:trPr>
        <w:tc>
          <w:tcPr>
            <w:tcW w:w="859"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3</w:t>
            </w:r>
          </w:p>
        </w:tc>
        <w:tc>
          <w:tcPr>
            <w:tcW w:w="2537"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运输车</w:t>
            </w:r>
          </w:p>
        </w:tc>
        <w:tc>
          <w:tcPr>
            <w:tcW w:w="2680"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845"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套</w:t>
            </w:r>
          </w:p>
        </w:tc>
        <w:tc>
          <w:tcPr>
            <w:tcW w:w="987"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w:t>
            </w:r>
          </w:p>
        </w:tc>
        <w:tc>
          <w:tcPr>
            <w:tcW w:w="1974"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10.5</w:t>
            </w:r>
          </w:p>
        </w:tc>
        <w:tc>
          <w:tcPr>
            <w:tcW w:w="2256"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10.5</w:t>
            </w:r>
          </w:p>
        </w:tc>
        <w:tc>
          <w:tcPr>
            <w:tcW w:w="1113"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4"/>
          <w:wAfter w:w="824" w:type="dxa"/>
          <w:trHeight w:val="511" w:hRule="atLeast"/>
        </w:trPr>
        <w:tc>
          <w:tcPr>
            <w:tcW w:w="859"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4</w:t>
            </w:r>
          </w:p>
        </w:tc>
        <w:tc>
          <w:tcPr>
            <w:tcW w:w="2537"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链板输送机</w:t>
            </w:r>
          </w:p>
        </w:tc>
        <w:tc>
          <w:tcPr>
            <w:tcW w:w="2680"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LB1200</w:t>
            </w:r>
          </w:p>
        </w:tc>
        <w:tc>
          <w:tcPr>
            <w:tcW w:w="845"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套</w:t>
            </w:r>
          </w:p>
        </w:tc>
        <w:tc>
          <w:tcPr>
            <w:tcW w:w="987"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w:t>
            </w:r>
          </w:p>
        </w:tc>
        <w:tc>
          <w:tcPr>
            <w:tcW w:w="1974"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12.95</w:t>
            </w:r>
          </w:p>
        </w:tc>
        <w:tc>
          <w:tcPr>
            <w:tcW w:w="2256"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12.95</w:t>
            </w:r>
          </w:p>
        </w:tc>
        <w:tc>
          <w:tcPr>
            <w:tcW w:w="1113"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4"/>
          <w:wAfter w:w="824" w:type="dxa"/>
          <w:trHeight w:val="511" w:hRule="atLeast"/>
        </w:trPr>
        <w:tc>
          <w:tcPr>
            <w:tcW w:w="859"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5</w:t>
            </w:r>
          </w:p>
        </w:tc>
        <w:tc>
          <w:tcPr>
            <w:tcW w:w="2537"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right="222" w:rightChars="108"/>
              <w:jc w:val="center"/>
              <w:textAlignment w:val="center"/>
              <w:rPr>
                <w:rFonts w:ascii="宋体" w:hAnsi="宋体" w:eastAsia="宋体" w:cs="宋体"/>
                <w:sz w:val="24"/>
                <w:szCs w:val="24"/>
              </w:rPr>
            </w:pPr>
            <w:r>
              <w:rPr>
                <w:rFonts w:hint="eastAsia" w:ascii="宋体" w:hAnsi="宋体" w:eastAsia="宋体" w:cs="宋体"/>
                <w:kern w:val="0"/>
                <w:sz w:val="24"/>
                <w:szCs w:val="24"/>
              </w:rPr>
              <w:t>人工分拣室</w:t>
            </w:r>
          </w:p>
        </w:tc>
        <w:tc>
          <w:tcPr>
            <w:tcW w:w="2680"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4工位（小屋）</w:t>
            </w:r>
          </w:p>
        </w:tc>
        <w:tc>
          <w:tcPr>
            <w:tcW w:w="845"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套</w:t>
            </w:r>
          </w:p>
        </w:tc>
        <w:tc>
          <w:tcPr>
            <w:tcW w:w="987"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w:t>
            </w:r>
          </w:p>
        </w:tc>
        <w:tc>
          <w:tcPr>
            <w:tcW w:w="1974"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5.6</w:t>
            </w:r>
          </w:p>
        </w:tc>
        <w:tc>
          <w:tcPr>
            <w:tcW w:w="2256"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5.6</w:t>
            </w:r>
          </w:p>
        </w:tc>
        <w:tc>
          <w:tcPr>
            <w:tcW w:w="1113"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4"/>
          <w:wAfter w:w="824" w:type="dxa"/>
          <w:trHeight w:val="511" w:hRule="atLeast"/>
        </w:trPr>
        <w:tc>
          <w:tcPr>
            <w:tcW w:w="859"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6</w:t>
            </w:r>
          </w:p>
        </w:tc>
        <w:tc>
          <w:tcPr>
            <w:tcW w:w="2537" w:type="dxa"/>
            <w:gridSpan w:val="8"/>
            <w:tcBorders>
              <w:top w:val="nil"/>
              <w:left w:val="nil"/>
              <w:bottom w:val="nil"/>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主线一级滚筒机</w:t>
            </w:r>
          </w:p>
        </w:tc>
        <w:tc>
          <w:tcPr>
            <w:tcW w:w="2680"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right="-397" w:rightChars="-193"/>
              <w:jc w:val="center"/>
              <w:textAlignment w:val="center"/>
              <w:rPr>
                <w:rFonts w:ascii="宋体" w:hAnsi="宋体" w:eastAsia="宋体" w:cs="宋体"/>
                <w:sz w:val="24"/>
                <w:szCs w:val="24"/>
              </w:rPr>
            </w:pPr>
            <w:r>
              <w:rPr>
                <w:rFonts w:hint="eastAsia" w:ascii="宋体" w:hAnsi="宋体" w:eastAsia="宋体" w:cs="宋体"/>
                <w:kern w:val="0"/>
                <w:sz w:val="24"/>
                <w:szCs w:val="24"/>
              </w:rPr>
              <w:t>GTS2508</w:t>
            </w:r>
          </w:p>
        </w:tc>
        <w:tc>
          <w:tcPr>
            <w:tcW w:w="845"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套</w:t>
            </w:r>
          </w:p>
        </w:tc>
        <w:tc>
          <w:tcPr>
            <w:tcW w:w="987"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w:t>
            </w:r>
          </w:p>
        </w:tc>
        <w:tc>
          <w:tcPr>
            <w:tcW w:w="1974"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38.5</w:t>
            </w:r>
          </w:p>
        </w:tc>
        <w:tc>
          <w:tcPr>
            <w:tcW w:w="2256"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38.5</w:t>
            </w:r>
          </w:p>
        </w:tc>
        <w:tc>
          <w:tcPr>
            <w:tcW w:w="1113"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4"/>
          <w:wAfter w:w="824" w:type="dxa"/>
          <w:trHeight w:val="511" w:hRule="atLeast"/>
        </w:trPr>
        <w:tc>
          <w:tcPr>
            <w:tcW w:w="859"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7</w:t>
            </w:r>
          </w:p>
        </w:tc>
        <w:tc>
          <w:tcPr>
            <w:tcW w:w="2537"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叉车</w:t>
            </w:r>
          </w:p>
        </w:tc>
        <w:tc>
          <w:tcPr>
            <w:tcW w:w="2680"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845"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套</w:t>
            </w:r>
          </w:p>
        </w:tc>
        <w:tc>
          <w:tcPr>
            <w:tcW w:w="987"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4</w:t>
            </w:r>
          </w:p>
        </w:tc>
        <w:tc>
          <w:tcPr>
            <w:tcW w:w="1974"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8.4</w:t>
            </w:r>
          </w:p>
        </w:tc>
        <w:tc>
          <w:tcPr>
            <w:tcW w:w="2256"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33.6</w:t>
            </w:r>
          </w:p>
        </w:tc>
        <w:tc>
          <w:tcPr>
            <w:tcW w:w="1113"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4"/>
          <w:wAfter w:w="824" w:type="dxa"/>
          <w:trHeight w:val="511" w:hRule="atLeast"/>
        </w:trPr>
        <w:tc>
          <w:tcPr>
            <w:tcW w:w="859"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8</w:t>
            </w:r>
          </w:p>
        </w:tc>
        <w:tc>
          <w:tcPr>
            <w:tcW w:w="2537"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压缩系统</w:t>
            </w:r>
          </w:p>
        </w:tc>
        <w:tc>
          <w:tcPr>
            <w:tcW w:w="2680"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845"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套</w:t>
            </w:r>
          </w:p>
        </w:tc>
        <w:tc>
          <w:tcPr>
            <w:tcW w:w="987"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w:t>
            </w:r>
          </w:p>
        </w:tc>
        <w:tc>
          <w:tcPr>
            <w:tcW w:w="1974"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63</w:t>
            </w:r>
          </w:p>
        </w:tc>
        <w:tc>
          <w:tcPr>
            <w:tcW w:w="2256"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63</w:t>
            </w:r>
          </w:p>
        </w:tc>
        <w:tc>
          <w:tcPr>
            <w:tcW w:w="1113"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4"/>
          <w:wAfter w:w="824" w:type="dxa"/>
          <w:trHeight w:val="511" w:hRule="atLeast"/>
        </w:trPr>
        <w:tc>
          <w:tcPr>
            <w:tcW w:w="859"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9</w:t>
            </w:r>
          </w:p>
        </w:tc>
        <w:tc>
          <w:tcPr>
            <w:tcW w:w="2537"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正压分选</w:t>
            </w:r>
          </w:p>
        </w:tc>
        <w:tc>
          <w:tcPr>
            <w:tcW w:w="2680"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845"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套</w:t>
            </w:r>
          </w:p>
        </w:tc>
        <w:tc>
          <w:tcPr>
            <w:tcW w:w="987"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w:t>
            </w:r>
          </w:p>
        </w:tc>
        <w:tc>
          <w:tcPr>
            <w:tcW w:w="1974"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31.5</w:t>
            </w:r>
          </w:p>
        </w:tc>
        <w:tc>
          <w:tcPr>
            <w:tcW w:w="2256"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31.5</w:t>
            </w:r>
          </w:p>
        </w:tc>
        <w:tc>
          <w:tcPr>
            <w:tcW w:w="1113"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4"/>
          <w:wAfter w:w="824" w:type="dxa"/>
          <w:trHeight w:val="1231" w:hRule="atLeast"/>
        </w:trPr>
        <w:tc>
          <w:tcPr>
            <w:tcW w:w="13251" w:type="dxa"/>
            <w:gridSpan w:val="59"/>
            <w:tcBorders>
              <w:top w:val="nil"/>
              <w:left w:val="nil"/>
              <w:bottom w:val="nil"/>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48"/>
                <w:szCs w:val="48"/>
              </w:rPr>
            </w:pPr>
            <w:r>
              <w:rPr>
                <w:rFonts w:hint="eastAsia" w:ascii="宋体" w:hAnsi="宋体" w:eastAsia="宋体" w:cs="宋体"/>
                <w:kern w:val="0"/>
                <w:sz w:val="48"/>
                <w:szCs w:val="48"/>
              </w:rPr>
              <w:t>分拣中心设备明细表</w:t>
            </w:r>
          </w:p>
        </w:tc>
      </w:tr>
      <w:tr>
        <w:tblPrEx>
          <w:tblCellMar>
            <w:top w:w="0" w:type="dxa"/>
            <w:left w:w="0" w:type="dxa"/>
            <w:bottom w:w="0" w:type="dxa"/>
            <w:right w:w="0" w:type="dxa"/>
          </w:tblCellMar>
        </w:tblPrEx>
        <w:trPr>
          <w:gridAfter w:val="4"/>
          <w:wAfter w:w="824" w:type="dxa"/>
          <w:trHeight w:val="511" w:hRule="atLeast"/>
        </w:trPr>
        <w:tc>
          <w:tcPr>
            <w:tcW w:w="833"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序号</w:t>
            </w:r>
          </w:p>
        </w:tc>
        <w:tc>
          <w:tcPr>
            <w:tcW w:w="2587"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设备名称</w:t>
            </w:r>
          </w:p>
        </w:tc>
        <w:tc>
          <w:tcPr>
            <w:tcW w:w="2719"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型号</w:t>
            </w:r>
          </w:p>
        </w:tc>
        <w:tc>
          <w:tcPr>
            <w:tcW w:w="840"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单位</w:t>
            </w:r>
          </w:p>
        </w:tc>
        <w:tc>
          <w:tcPr>
            <w:tcW w:w="84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数量</w:t>
            </w:r>
          </w:p>
        </w:tc>
        <w:tc>
          <w:tcPr>
            <w:tcW w:w="2102" w:type="dxa"/>
            <w:gridSpan w:val="11"/>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市场单价（万元）</w:t>
            </w:r>
          </w:p>
        </w:tc>
        <w:tc>
          <w:tcPr>
            <w:tcW w:w="2269"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市场总价（万元）</w:t>
            </w:r>
          </w:p>
        </w:tc>
        <w:tc>
          <w:tcPr>
            <w:tcW w:w="1061"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备注</w:t>
            </w:r>
          </w:p>
        </w:tc>
      </w:tr>
      <w:tr>
        <w:tblPrEx>
          <w:tblCellMar>
            <w:top w:w="0" w:type="dxa"/>
            <w:left w:w="0" w:type="dxa"/>
            <w:bottom w:w="0" w:type="dxa"/>
            <w:right w:w="0" w:type="dxa"/>
          </w:tblCellMar>
        </w:tblPrEx>
        <w:trPr>
          <w:gridAfter w:val="4"/>
          <w:wAfter w:w="824" w:type="dxa"/>
          <w:trHeight w:val="511" w:hRule="atLeast"/>
        </w:trPr>
        <w:tc>
          <w:tcPr>
            <w:tcW w:w="833"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10</w:t>
            </w:r>
          </w:p>
        </w:tc>
        <w:tc>
          <w:tcPr>
            <w:tcW w:w="2587"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磁选</w:t>
            </w:r>
          </w:p>
        </w:tc>
        <w:tc>
          <w:tcPr>
            <w:tcW w:w="2719"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700GS</w:t>
            </w:r>
          </w:p>
        </w:tc>
        <w:tc>
          <w:tcPr>
            <w:tcW w:w="840"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套</w:t>
            </w:r>
          </w:p>
        </w:tc>
        <w:tc>
          <w:tcPr>
            <w:tcW w:w="84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2</w:t>
            </w:r>
          </w:p>
        </w:tc>
        <w:tc>
          <w:tcPr>
            <w:tcW w:w="2102" w:type="dxa"/>
            <w:gridSpan w:val="11"/>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20.3</w:t>
            </w:r>
          </w:p>
        </w:tc>
        <w:tc>
          <w:tcPr>
            <w:tcW w:w="2269"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1061"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r>
      <w:tr>
        <w:tblPrEx>
          <w:tblCellMar>
            <w:top w:w="0" w:type="dxa"/>
            <w:left w:w="0" w:type="dxa"/>
            <w:bottom w:w="0" w:type="dxa"/>
            <w:right w:w="0" w:type="dxa"/>
          </w:tblCellMar>
        </w:tblPrEx>
        <w:trPr>
          <w:gridAfter w:val="4"/>
          <w:wAfter w:w="824" w:type="dxa"/>
          <w:trHeight w:val="511" w:hRule="atLeast"/>
        </w:trPr>
        <w:tc>
          <w:tcPr>
            <w:tcW w:w="833"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11</w:t>
            </w:r>
          </w:p>
        </w:tc>
        <w:tc>
          <w:tcPr>
            <w:tcW w:w="2587"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破袋机</w:t>
            </w:r>
          </w:p>
        </w:tc>
        <w:tc>
          <w:tcPr>
            <w:tcW w:w="2719"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kern w:val="0"/>
                <w:sz w:val="24"/>
                <w:szCs w:val="24"/>
              </w:rPr>
            </w:pPr>
          </w:p>
        </w:tc>
        <w:tc>
          <w:tcPr>
            <w:tcW w:w="840"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套</w:t>
            </w:r>
          </w:p>
        </w:tc>
        <w:tc>
          <w:tcPr>
            <w:tcW w:w="84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1</w:t>
            </w:r>
          </w:p>
        </w:tc>
        <w:tc>
          <w:tcPr>
            <w:tcW w:w="2102" w:type="dxa"/>
            <w:gridSpan w:val="11"/>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19.6</w:t>
            </w:r>
          </w:p>
        </w:tc>
        <w:tc>
          <w:tcPr>
            <w:tcW w:w="2269"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19.6</w:t>
            </w:r>
          </w:p>
        </w:tc>
        <w:tc>
          <w:tcPr>
            <w:tcW w:w="1061"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r>
      <w:tr>
        <w:tblPrEx>
          <w:tblCellMar>
            <w:top w:w="0" w:type="dxa"/>
            <w:left w:w="0" w:type="dxa"/>
            <w:bottom w:w="0" w:type="dxa"/>
            <w:right w:w="0" w:type="dxa"/>
          </w:tblCellMar>
        </w:tblPrEx>
        <w:trPr>
          <w:gridAfter w:val="4"/>
          <w:wAfter w:w="824" w:type="dxa"/>
          <w:trHeight w:val="511" w:hRule="atLeast"/>
        </w:trPr>
        <w:tc>
          <w:tcPr>
            <w:tcW w:w="833"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12</w:t>
            </w:r>
          </w:p>
        </w:tc>
        <w:tc>
          <w:tcPr>
            <w:tcW w:w="2587"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二级滚筒筛</w:t>
            </w:r>
          </w:p>
        </w:tc>
        <w:tc>
          <w:tcPr>
            <w:tcW w:w="2719"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GTS1806</w:t>
            </w:r>
          </w:p>
        </w:tc>
        <w:tc>
          <w:tcPr>
            <w:tcW w:w="840"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套</w:t>
            </w:r>
          </w:p>
        </w:tc>
        <w:tc>
          <w:tcPr>
            <w:tcW w:w="84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1</w:t>
            </w:r>
          </w:p>
        </w:tc>
        <w:tc>
          <w:tcPr>
            <w:tcW w:w="2102" w:type="dxa"/>
            <w:gridSpan w:val="11"/>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28</w:t>
            </w:r>
          </w:p>
        </w:tc>
        <w:tc>
          <w:tcPr>
            <w:tcW w:w="2269"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28</w:t>
            </w:r>
          </w:p>
        </w:tc>
        <w:tc>
          <w:tcPr>
            <w:tcW w:w="1061"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r>
      <w:tr>
        <w:tblPrEx>
          <w:tblCellMar>
            <w:top w:w="0" w:type="dxa"/>
            <w:left w:w="0" w:type="dxa"/>
            <w:bottom w:w="0" w:type="dxa"/>
            <w:right w:w="0" w:type="dxa"/>
          </w:tblCellMar>
        </w:tblPrEx>
        <w:trPr>
          <w:gridAfter w:val="4"/>
          <w:wAfter w:w="824" w:type="dxa"/>
          <w:trHeight w:val="511" w:hRule="atLeast"/>
        </w:trPr>
        <w:tc>
          <w:tcPr>
            <w:tcW w:w="833"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13</w:t>
            </w:r>
          </w:p>
        </w:tc>
        <w:tc>
          <w:tcPr>
            <w:tcW w:w="2587"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2"/>
              </w:rPr>
              <w:t>合计</w:t>
            </w:r>
          </w:p>
        </w:tc>
        <w:tc>
          <w:tcPr>
            <w:tcW w:w="2719"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kern w:val="0"/>
                <w:sz w:val="22"/>
              </w:rPr>
            </w:pPr>
          </w:p>
        </w:tc>
        <w:tc>
          <w:tcPr>
            <w:tcW w:w="840"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kern w:val="0"/>
                <w:sz w:val="22"/>
              </w:rPr>
            </w:pPr>
          </w:p>
        </w:tc>
        <w:tc>
          <w:tcPr>
            <w:tcW w:w="84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kern w:val="0"/>
                <w:sz w:val="22"/>
              </w:rPr>
            </w:pPr>
          </w:p>
        </w:tc>
        <w:tc>
          <w:tcPr>
            <w:tcW w:w="2102"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kern w:val="0"/>
                <w:sz w:val="22"/>
              </w:rPr>
            </w:pPr>
          </w:p>
        </w:tc>
        <w:tc>
          <w:tcPr>
            <w:tcW w:w="2269"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307.65</w:t>
            </w:r>
          </w:p>
        </w:tc>
        <w:tc>
          <w:tcPr>
            <w:tcW w:w="1061"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r>
      <w:tr>
        <w:tblPrEx>
          <w:tblCellMar>
            <w:top w:w="0" w:type="dxa"/>
            <w:left w:w="0" w:type="dxa"/>
            <w:bottom w:w="0" w:type="dxa"/>
            <w:right w:w="0" w:type="dxa"/>
          </w:tblCellMar>
        </w:tblPrEx>
        <w:trPr>
          <w:gridAfter w:val="4"/>
          <w:wAfter w:w="824" w:type="dxa"/>
          <w:trHeight w:val="511" w:hRule="atLeast"/>
        </w:trPr>
        <w:tc>
          <w:tcPr>
            <w:tcW w:w="833"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587"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719"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840"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84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102" w:type="dxa"/>
            <w:gridSpan w:val="11"/>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269"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1061"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r>
      <w:tr>
        <w:tblPrEx>
          <w:tblCellMar>
            <w:top w:w="0" w:type="dxa"/>
            <w:left w:w="0" w:type="dxa"/>
            <w:bottom w:w="0" w:type="dxa"/>
            <w:right w:w="0" w:type="dxa"/>
          </w:tblCellMar>
        </w:tblPrEx>
        <w:trPr>
          <w:gridAfter w:val="4"/>
          <w:wAfter w:w="824" w:type="dxa"/>
          <w:trHeight w:val="511" w:hRule="atLeast"/>
        </w:trPr>
        <w:tc>
          <w:tcPr>
            <w:tcW w:w="833"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587"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719"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840"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84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102" w:type="dxa"/>
            <w:gridSpan w:val="11"/>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269"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1061"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r>
      <w:tr>
        <w:tblPrEx>
          <w:tblCellMar>
            <w:top w:w="0" w:type="dxa"/>
            <w:left w:w="0" w:type="dxa"/>
            <w:bottom w:w="0" w:type="dxa"/>
            <w:right w:w="0" w:type="dxa"/>
          </w:tblCellMar>
        </w:tblPrEx>
        <w:trPr>
          <w:gridAfter w:val="4"/>
          <w:wAfter w:w="824" w:type="dxa"/>
          <w:trHeight w:val="511" w:hRule="atLeast"/>
        </w:trPr>
        <w:tc>
          <w:tcPr>
            <w:tcW w:w="833"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587"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719"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840"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84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102" w:type="dxa"/>
            <w:gridSpan w:val="11"/>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269"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1061"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r>
      <w:tr>
        <w:tblPrEx>
          <w:tblCellMar>
            <w:top w:w="0" w:type="dxa"/>
            <w:left w:w="0" w:type="dxa"/>
            <w:bottom w:w="0" w:type="dxa"/>
            <w:right w:w="0" w:type="dxa"/>
          </w:tblCellMar>
        </w:tblPrEx>
        <w:trPr>
          <w:gridAfter w:val="4"/>
          <w:wAfter w:w="824" w:type="dxa"/>
          <w:trHeight w:val="511" w:hRule="atLeast"/>
        </w:trPr>
        <w:tc>
          <w:tcPr>
            <w:tcW w:w="833"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587"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719"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840"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84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102" w:type="dxa"/>
            <w:gridSpan w:val="11"/>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269"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1061"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r>
      <w:tr>
        <w:tblPrEx>
          <w:tblCellMar>
            <w:top w:w="0" w:type="dxa"/>
            <w:left w:w="0" w:type="dxa"/>
            <w:bottom w:w="0" w:type="dxa"/>
            <w:right w:w="0" w:type="dxa"/>
          </w:tblCellMar>
        </w:tblPrEx>
        <w:trPr>
          <w:gridAfter w:val="4"/>
          <w:wAfter w:w="824" w:type="dxa"/>
          <w:trHeight w:val="511" w:hRule="atLeast"/>
        </w:trPr>
        <w:tc>
          <w:tcPr>
            <w:tcW w:w="833"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587"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719"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840"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84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102" w:type="dxa"/>
            <w:gridSpan w:val="11"/>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2269" w:type="dxa"/>
            <w:gridSpan w:val="8"/>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c>
          <w:tcPr>
            <w:tcW w:w="1061"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p>
        </w:tc>
      </w:tr>
      <w:tr>
        <w:tblPrEx>
          <w:tblCellMar>
            <w:top w:w="0" w:type="dxa"/>
            <w:left w:w="0" w:type="dxa"/>
            <w:bottom w:w="0" w:type="dxa"/>
            <w:right w:w="0" w:type="dxa"/>
          </w:tblCellMar>
        </w:tblPrEx>
        <w:trPr>
          <w:gridAfter w:val="3"/>
          <w:wAfter w:w="629" w:type="dxa"/>
          <w:trHeight w:val="568" w:hRule="atLeast"/>
        </w:trPr>
        <w:tc>
          <w:tcPr>
            <w:tcW w:w="13446" w:type="dxa"/>
            <w:gridSpan w:val="60"/>
            <w:vMerge w:val="restart"/>
            <w:tcBorders>
              <w:top w:val="nil"/>
              <w:left w:val="nil"/>
              <w:bottom w:val="nil"/>
              <w:right w:val="nil"/>
            </w:tcBorders>
            <w:shd w:val="clear" w:color="auto" w:fill="auto"/>
            <w:noWrap/>
            <w:tcMar>
              <w:top w:w="15" w:type="dxa"/>
              <w:left w:w="15" w:type="dxa"/>
              <w:right w:w="15" w:type="dxa"/>
            </w:tcMar>
            <w:vAlign w:val="center"/>
          </w:tcPr>
          <w:p>
            <w:pPr>
              <w:widowControl/>
              <w:spacing w:line="400" w:lineRule="exact"/>
              <w:jc w:val="center"/>
              <w:textAlignment w:val="center"/>
              <w:rPr>
                <w:rFonts w:ascii="宋体" w:hAnsi="宋体" w:eastAsia="宋体" w:cs="宋体"/>
                <w:b/>
                <w:kern w:val="0"/>
                <w:sz w:val="44"/>
                <w:szCs w:val="44"/>
              </w:rPr>
            </w:pPr>
            <w:bookmarkStart w:id="1215" w:name="_Toc5292_WPSOffice_Level2"/>
            <w:bookmarkStart w:id="1216" w:name="_Toc19616_WPSOffice_Level2"/>
            <w:bookmarkStart w:id="1217" w:name="_Toc15232_WPSOffice_Level2"/>
            <w:bookmarkStart w:id="1218" w:name="_Toc30693_WPSOffice_Level2"/>
            <w:bookmarkStart w:id="1219" w:name="_Toc806_WPSOffice_Level2"/>
          </w:p>
          <w:p>
            <w:pPr>
              <w:widowControl/>
              <w:spacing w:line="400" w:lineRule="exact"/>
              <w:jc w:val="center"/>
              <w:textAlignment w:val="center"/>
              <w:rPr>
                <w:rFonts w:ascii="宋体" w:hAnsi="宋体" w:eastAsia="宋体" w:cs="宋体"/>
                <w:b/>
                <w:sz w:val="44"/>
                <w:szCs w:val="44"/>
              </w:rPr>
            </w:pPr>
            <w:r>
              <w:rPr>
                <w:rFonts w:hint="eastAsia" w:ascii="宋体" w:hAnsi="宋体" w:eastAsia="宋体" w:cs="宋体"/>
                <w:b/>
                <w:kern w:val="0"/>
                <w:sz w:val="44"/>
                <w:szCs w:val="44"/>
              </w:rPr>
              <w:t>首年人员配置方案及费用</w:t>
            </w:r>
          </w:p>
        </w:tc>
      </w:tr>
      <w:tr>
        <w:tblPrEx>
          <w:tblCellMar>
            <w:top w:w="0" w:type="dxa"/>
            <w:left w:w="0" w:type="dxa"/>
            <w:bottom w:w="0" w:type="dxa"/>
            <w:right w:w="0" w:type="dxa"/>
          </w:tblCellMar>
        </w:tblPrEx>
        <w:trPr>
          <w:gridAfter w:val="3"/>
          <w:wAfter w:w="629" w:type="dxa"/>
          <w:trHeight w:val="568" w:hRule="atLeast"/>
        </w:trPr>
        <w:tc>
          <w:tcPr>
            <w:tcW w:w="13446" w:type="dxa"/>
            <w:gridSpan w:val="60"/>
            <w:vMerge w:val="continue"/>
            <w:tcBorders>
              <w:top w:val="nil"/>
              <w:left w:val="nil"/>
              <w:bottom w:val="nil"/>
              <w:right w:val="nil"/>
            </w:tcBorders>
            <w:shd w:val="clear" w:color="auto" w:fill="auto"/>
            <w:noWrap/>
            <w:tcMar>
              <w:top w:w="15" w:type="dxa"/>
              <w:left w:w="15" w:type="dxa"/>
              <w:right w:w="15" w:type="dxa"/>
            </w:tcMar>
            <w:vAlign w:val="center"/>
          </w:tcPr>
          <w:p>
            <w:pPr>
              <w:spacing w:line="400" w:lineRule="exact"/>
              <w:jc w:val="center"/>
              <w:rPr>
                <w:rFonts w:ascii="宋体" w:hAnsi="宋体" w:eastAsia="宋体" w:cs="宋体"/>
                <w:b/>
                <w:sz w:val="44"/>
                <w:szCs w:val="44"/>
              </w:rPr>
            </w:pPr>
          </w:p>
        </w:tc>
      </w:tr>
      <w:tr>
        <w:tblPrEx>
          <w:tblCellMar>
            <w:top w:w="0" w:type="dxa"/>
            <w:left w:w="0" w:type="dxa"/>
            <w:bottom w:w="0" w:type="dxa"/>
            <w:right w:w="0" w:type="dxa"/>
          </w:tblCellMar>
        </w:tblPrEx>
        <w:trPr>
          <w:gridAfter w:val="3"/>
          <w:wAfter w:w="629" w:type="dxa"/>
          <w:trHeight w:val="511" w:hRule="atLeast"/>
        </w:trPr>
        <w:tc>
          <w:tcPr>
            <w:tcW w:w="13446" w:type="dxa"/>
            <w:gridSpan w:val="60"/>
            <w:tcBorders>
              <w:top w:val="nil"/>
              <w:left w:val="nil"/>
              <w:bottom w:val="nil"/>
              <w:right w:val="nil"/>
            </w:tcBorders>
            <w:shd w:val="clear" w:color="auto" w:fill="auto"/>
            <w:noWrap/>
            <w:tcMar>
              <w:top w:w="15" w:type="dxa"/>
              <w:left w:w="15" w:type="dxa"/>
              <w:right w:w="15" w:type="dxa"/>
            </w:tcMar>
            <w:vAlign w:val="center"/>
          </w:tcPr>
          <w:p>
            <w:pPr>
              <w:widowControl/>
              <w:spacing w:line="400" w:lineRule="exact"/>
              <w:jc w:val="left"/>
              <w:textAlignment w:val="center"/>
              <w:rPr>
                <w:rFonts w:ascii="宋体" w:hAnsi="宋体" w:eastAsia="宋体" w:cs="宋体"/>
                <w:sz w:val="24"/>
                <w:szCs w:val="24"/>
              </w:rPr>
            </w:pPr>
            <w:r>
              <w:rPr>
                <w:rFonts w:hint="eastAsia" w:ascii="宋体" w:hAnsi="宋体" w:eastAsia="宋体" w:cs="宋体"/>
                <w:kern w:val="0"/>
                <w:sz w:val="24"/>
                <w:szCs w:val="24"/>
              </w:rPr>
              <w:t xml:space="preserve">名称：镜铁区 </w:t>
            </w:r>
          </w:p>
        </w:tc>
      </w:tr>
      <w:tr>
        <w:tblPrEx>
          <w:tblCellMar>
            <w:top w:w="0" w:type="dxa"/>
            <w:left w:w="0" w:type="dxa"/>
            <w:bottom w:w="0" w:type="dxa"/>
            <w:right w:w="0" w:type="dxa"/>
          </w:tblCellMar>
        </w:tblPrEx>
        <w:trPr>
          <w:gridAfter w:val="3"/>
          <w:wAfter w:w="629" w:type="dxa"/>
          <w:trHeight w:val="511"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社区名称</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户数</w:t>
            </w:r>
          </w:p>
        </w:tc>
        <w:tc>
          <w:tcPr>
            <w:tcW w:w="1767" w:type="dxa"/>
            <w:gridSpan w:val="8"/>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运营总监</w:t>
            </w:r>
          </w:p>
        </w:tc>
        <w:tc>
          <w:tcPr>
            <w:tcW w:w="1736" w:type="dxa"/>
            <w:gridSpan w:val="10"/>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运营经理</w:t>
            </w:r>
          </w:p>
        </w:tc>
        <w:tc>
          <w:tcPr>
            <w:tcW w:w="1862" w:type="dxa"/>
            <w:gridSpan w:val="10"/>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运营主管</w:t>
            </w:r>
          </w:p>
        </w:tc>
        <w:tc>
          <w:tcPr>
            <w:tcW w:w="1781"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宣传员/督导员</w:t>
            </w:r>
          </w:p>
        </w:tc>
        <w:tc>
          <w:tcPr>
            <w:tcW w:w="1602" w:type="dxa"/>
            <w:gridSpan w:val="4"/>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转运员</w:t>
            </w:r>
          </w:p>
        </w:tc>
        <w:tc>
          <w:tcPr>
            <w:tcW w:w="1717"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设备维护员</w:t>
            </w: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铁北社区</w:t>
            </w:r>
          </w:p>
        </w:tc>
        <w:tc>
          <w:tcPr>
            <w:tcW w:w="1288" w:type="dxa"/>
            <w:gridSpan w:val="4"/>
            <w:tcBorders>
              <w:top w:val="nil"/>
              <w:left w:val="nil"/>
              <w:bottom w:val="nil"/>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3636</w:t>
            </w:r>
          </w:p>
        </w:tc>
        <w:tc>
          <w:tcPr>
            <w:tcW w:w="1767" w:type="dxa"/>
            <w:gridSpan w:val="8"/>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1人</w:t>
            </w:r>
          </w:p>
        </w:tc>
        <w:tc>
          <w:tcPr>
            <w:tcW w:w="1736" w:type="dxa"/>
            <w:gridSpan w:val="10"/>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2人</w:t>
            </w:r>
          </w:p>
        </w:tc>
        <w:tc>
          <w:tcPr>
            <w:tcW w:w="1862" w:type="dxa"/>
            <w:gridSpan w:val="10"/>
            <w:vMerge w:val="restart"/>
            <w:tcBorders>
              <w:top w:val="single" w:color="000000" w:sz="4" w:space="0"/>
              <w:left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10</w:t>
            </w:r>
          </w:p>
        </w:tc>
        <w:tc>
          <w:tcPr>
            <w:tcW w:w="1781" w:type="dxa"/>
            <w:gridSpan w:val="10"/>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7</w:t>
            </w:r>
          </w:p>
        </w:tc>
        <w:tc>
          <w:tcPr>
            <w:tcW w:w="1602" w:type="dxa"/>
            <w:gridSpan w:val="4"/>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10</w:t>
            </w:r>
          </w:p>
        </w:tc>
        <w:tc>
          <w:tcPr>
            <w:tcW w:w="1717" w:type="dxa"/>
            <w:gridSpan w:val="6"/>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2</w:t>
            </w: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铁南社区</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4791</w:t>
            </w:r>
          </w:p>
        </w:tc>
        <w:tc>
          <w:tcPr>
            <w:tcW w:w="1767" w:type="dxa"/>
            <w:gridSpan w:val="8"/>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9</w:t>
            </w:r>
          </w:p>
        </w:tc>
        <w:tc>
          <w:tcPr>
            <w:tcW w:w="1602" w:type="dxa"/>
            <w:gridSpan w:val="4"/>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迎宾社区</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4482</w:t>
            </w:r>
          </w:p>
        </w:tc>
        <w:tc>
          <w:tcPr>
            <w:tcW w:w="1767" w:type="dxa"/>
            <w:gridSpan w:val="8"/>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8</w:t>
            </w:r>
          </w:p>
        </w:tc>
        <w:tc>
          <w:tcPr>
            <w:tcW w:w="1602" w:type="dxa"/>
            <w:gridSpan w:val="4"/>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德惠社区</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3731</w:t>
            </w:r>
          </w:p>
        </w:tc>
        <w:tc>
          <w:tcPr>
            <w:tcW w:w="1767" w:type="dxa"/>
            <w:gridSpan w:val="8"/>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7</w:t>
            </w:r>
          </w:p>
        </w:tc>
        <w:tc>
          <w:tcPr>
            <w:tcW w:w="1602" w:type="dxa"/>
            <w:gridSpan w:val="4"/>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峪苑社区</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2232</w:t>
            </w:r>
          </w:p>
        </w:tc>
        <w:tc>
          <w:tcPr>
            <w:tcW w:w="1767" w:type="dxa"/>
            <w:gridSpan w:val="8"/>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4</w:t>
            </w:r>
          </w:p>
        </w:tc>
        <w:tc>
          <w:tcPr>
            <w:tcW w:w="1602" w:type="dxa"/>
            <w:gridSpan w:val="4"/>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昌盛社区</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2399</w:t>
            </w:r>
          </w:p>
        </w:tc>
        <w:tc>
          <w:tcPr>
            <w:tcW w:w="1767" w:type="dxa"/>
            <w:gridSpan w:val="8"/>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4</w:t>
            </w:r>
          </w:p>
        </w:tc>
        <w:tc>
          <w:tcPr>
            <w:tcW w:w="1602" w:type="dxa"/>
            <w:gridSpan w:val="4"/>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和诚社区</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6594</w:t>
            </w:r>
          </w:p>
        </w:tc>
        <w:tc>
          <w:tcPr>
            <w:tcW w:w="1767" w:type="dxa"/>
            <w:gridSpan w:val="8"/>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15</w:t>
            </w:r>
          </w:p>
        </w:tc>
        <w:tc>
          <w:tcPr>
            <w:tcW w:w="1602" w:type="dxa"/>
            <w:gridSpan w:val="4"/>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曙光社区</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2940</w:t>
            </w:r>
          </w:p>
        </w:tc>
        <w:tc>
          <w:tcPr>
            <w:tcW w:w="1767" w:type="dxa"/>
            <w:gridSpan w:val="8"/>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5</w:t>
            </w:r>
          </w:p>
        </w:tc>
        <w:tc>
          <w:tcPr>
            <w:tcW w:w="1602" w:type="dxa"/>
            <w:gridSpan w:val="4"/>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佳苑社区</w:t>
            </w:r>
          </w:p>
        </w:tc>
        <w:tc>
          <w:tcPr>
            <w:tcW w:w="1288" w:type="dxa"/>
            <w:gridSpan w:val="4"/>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4135</w:t>
            </w:r>
          </w:p>
        </w:tc>
        <w:tc>
          <w:tcPr>
            <w:tcW w:w="1767" w:type="dxa"/>
            <w:gridSpan w:val="8"/>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tcBorders>
              <w:top w:val="single" w:color="000000" w:sz="4" w:space="0"/>
              <w:left w:val="nil"/>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8</w:t>
            </w:r>
          </w:p>
        </w:tc>
        <w:tc>
          <w:tcPr>
            <w:tcW w:w="1602" w:type="dxa"/>
            <w:gridSpan w:val="4"/>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朝晖社区</w:t>
            </w:r>
          </w:p>
        </w:tc>
        <w:tc>
          <w:tcPr>
            <w:tcW w:w="1288" w:type="dxa"/>
            <w:gridSpan w:val="4"/>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2695</w:t>
            </w:r>
          </w:p>
        </w:tc>
        <w:tc>
          <w:tcPr>
            <w:tcW w:w="1767" w:type="dxa"/>
            <w:gridSpan w:val="8"/>
            <w:vMerge w:val="continue"/>
            <w:tcBorders>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bottom w:val="single" w:color="auto"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5</w:t>
            </w:r>
          </w:p>
        </w:tc>
        <w:tc>
          <w:tcPr>
            <w:tcW w:w="1602" w:type="dxa"/>
            <w:gridSpan w:val="4"/>
            <w:vMerge w:val="continue"/>
            <w:tcBorders>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679" w:hRule="atLeast"/>
        </w:trPr>
        <w:tc>
          <w:tcPr>
            <w:tcW w:w="13446" w:type="dxa"/>
            <w:gridSpan w:val="60"/>
            <w:tcBorders>
              <w:top w:val="single" w:color="auto" w:sz="4" w:space="0"/>
              <w:left w:val="nil"/>
              <w:bottom w:val="nil"/>
              <w:right w:val="nil"/>
            </w:tcBorders>
            <w:shd w:val="clear" w:color="auto" w:fill="auto"/>
            <w:noWrap/>
            <w:tcMar>
              <w:top w:w="15" w:type="dxa"/>
              <w:left w:w="15" w:type="dxa"/>
              <w:right w:w="15" w:type="dxa"/>
            </w:tcMar>
            <w:vAlign w:val="center"/>
          </w:tcPr>
          <w:p>
            <w:pPr>
              <w:jc w:val="center"/>
              <w:rPr>
                <w:rFonts w:ascii="宋体" w:hAnsi="宋体" w:eastAsia="宋体" w:cs="宋体"/>
                <w:sz w:val="24"/>
                <w:szCs w:val="24"/>
              </w:rPr>
            </w:pPr>
            <w:r>
              <w:rPr>
                <w:rFonts w:hint="eastAsia" w:ascii="宋体" w:hAnsi="宋体" w:eastAsia="宋体" w:cs="宋体"/>
                <w:b/>
                <w:kern w:val="0"/>
                <w:sz w:val="44"/>
                <w:szCs w:val="44"/>
              </w:rPr>
              <w:t>首年人员配置方案及费用</w:t>
            </w:r>
          </w:p>
        </w:tc>
      </w:tr>
      <w:tr>
        <w:tblPrEx>
          <w:tblCellMar>
            <w:top w:w="0" w:type="dxa"/>
            <w:left w:w="0" w:type="dxa"/>
            <w:bottom w:w="0" w:type="dxa"/>
            <w:right w:w="0" w:type="dxa"/>
          </w:tblCellMar>
        </w:tblPrEx>
        <w:trPr>
          <w:gridAfter w:val="3"/>
          <w:wAfter w:w="629" w:type="dxa"/>
          <w:trHeight w:val="679" w:hRule="atLeast"/>
        </w:trPr>
        <w:tc>
          <w:tcPr>
            <w:tcW w:w="13446" w:type="dxa"/>
            <w:gridSpan w:val="60"/>
            <w:tcBorders>
              <w:top w:val="nil"/>
              <w:left w:val="nil"/>
              <w:bottom w:val="single" w:color="auto" w:sz="4" w:space="0"/>
              <w:right w:val="nil"/>
            </w:tcBorders>
            <w:shd w:val="clear" w:color="auto" w:fill="auto"/>
            <w:noWrap/>
            <w:tcMar>
              <w:top w:w="15" w:type="dxa"/>
              <w:left w:w="15" w:type="dxa"/>
              <w:right w:w="15" w:type="dxa"/>
            </w:tcMar>
            <w:vAlign w:val="center"/>
          </w:tcPr>
          <w:p>
            <w:pPr>
              <w:jc w:val="left"/>
              <w:rPr>
                <w:rFonts w:ascii="宋体" w:hAnsi="宋体" w:eastAsia="宋体" w:cs="宋体"/>
                <w:sz w:val="24"/>
                <w:szCs w:val="24"/>
              </w:rPr>
            </w:pPr>
            <w:r>
              <w:rPr>
                <w:rFonts w:hint="eastAsia" w:ascii="宋体" w:hAnsi="宋体" w:eastAsia="宋体" w:cs="宋体"/>
                <w:kern w:val="0"/>
                <w:sz w:val="24"/>
                <w:szCs w:val="24"/>
              </w:rPr>
              <w:t xml:space="preserve">名称：镜铁区 </w:t>
            </w:r>
          </w:p>
        </w:tc>
      </w:tr>
      <w:tr>
        <w:tblPrEx>
          <w:tblCellMar>
            <w:top w:w="0" w:type="dxa"/>
            <w:left w:w="0" w:type="dxa"/>
            <w:bottom w:w="0" w:type="dxa"/>
            <w:right w:w="0" w:type="dxa"/>
          </w:tblCellMar>
        </w:tblPrEx>
        <w:trPr>
          <w:gridAfter w:val="3"/>
          <w:wAfter w:w="629" w:type="dxa"/>
          <w:trHeight w:val="679" w:hRule="atLeast"/>
        </w:trPr>
        <w:tc>
          <w:tcPr>
            <w:tcW w:w="1693" w:type="dxa"/>
            <w:gridSpan w:val="8"/>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kern w:val="0"/>
                <w:sz w:val="24"/>
                <w:szCs w:val="24"/>
              </w:rPr>
            </w:pPr>
            <w:r>
              <w:rPr>
                <w:rFonts w:hint="eastAsia" w:ascii="宋体" w:hAnsi="宋体" w:eastAsia="宋体" w:cs="宋体"/>
                <w:kern w:val="0"/>
                <w:sz w:val="24"/>
                <w:szCs w:val="24"/>
              </w:rPr>
              <w:t>社区名称</w:t>
            </w:r>
          </w:p>
        </w:tc>
        <w:tc>
          <w:tcPr>
            <w:tcW w:w="1288" w:type="dxa"/>
            <w:gridSpan w:val="4"/>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户数</w:t>
            </w:r>
          </w:p>
        </w:tc>
        <w:tc>
          <w:tcPr>
            <w:tcW w:w="1767" w:type="dxa"/>
            <w:gridSpan w:val="8"/>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运营总监</w:t>
            </w:r>
          </w:p>
        </w:tc>
        <w:tc>
          <w:tcPr>
            <w:tcW w:w="1736" w:type="dxa"/>
            <w:gridSpan w:val="10"/>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运营经理</w:t>
            </w:r>
          </w:p>
        </w:tc>
        <w:tc>
          <w:tcPr>
            <w:tcW w:w="1862" w:type="dxa"/>
            <w:gridSpan w:val="10"/>
            <w:tcBorders>
              <w:top w:val="single" w:color="auto"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运营主管</w:t>
            </w:r>
          </w:p>
        </w:tc>
        <w:tc>
          <w:tcPr>
            <w:tcW w:w="1781" w:type="dxa"/>
            <w:gridSpan w:val="10"/>
            <w:tcBorders>
              <w:top w:val="single" w:color="auto"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4"/>
                <w:szCs w:val="24"/>
              </w:rPr>
            </w:pPr>
            <w:r>
              <w:rPr>
                <w:rFonts w:hint="eastAsia" w:ascii="宋体" w:hAnsi="宋体" w:eastAsia="宋体" w:cs="宋体"/>
                <w:kern w:val="0"/>
                <w:sz w:val="24"/>
                <w:szCs w:val="24"/>
              </w:rPr>
              <w:t>宣传员/督导员</w:t>
            </w:r>
          </w:p>
        </w:tc>
        <w:tc>
          <w:tcPr>
            <w:tcW w:w="1602" w:type="dxa"/>
            <w:gridSpan w:val="4"/>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转运员</w:t>
            </w:r>
          </w:p>
        </w:tc>
        <w:tc>
          <w:tcPr>
            <w:tcW w:w="1717" w:type="dxa"/>
            <w:gridSpan w:val="6"/>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设备维护员</w:t>
            </w: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紫轩社区</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7803</w:t>
            </w:r>
          </w:p>
        </w:tc>
        <w:tc>
          <w:tcPr>
            <w:tcW w:w="1767" w:type="dxa"/>
            <w:gridSpan w:val="8"/>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restart"/>
            <w:tcBorders>
              <w:top w:val="single" w:color="000000" w:sz="4" w:space="0"/>
              <w:left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16</w:t>
            </w:r>
          </w:p>
        </w:tc>
        <w:tc>
          <w:tcPr>
            <w:tcW w:w="1602" w:type="dxa"/>
            <w:gridSpan w:val="4"/>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明珠社区</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7056</w:t>
            </w:r>
          </w:p>
        </w:tc>
        <w:tc>
          <w:tcPr>
            <w:tcW w:w="1767" w:type="dxa"/>
            <w:gridSpan w:val="8"/>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16</w:t>
            </w:r>
          </w:p>
        </w:tc>
        <w:tc>
          <w:tcPr>
            <w:tcW w:w="1602" w:type="dxa"/>
            <w:gridSpan w:val="4"/>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南湖社区</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2808</w:t>
            </w:r>
          </w:p>
        </w:tc>
        <w:tc>
          <w:tcPr>
            <w:tcW w:w="1767" w:type="dxa"/>
            <w:gridSpan w:val="8"/>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5</w:t>
            </w:r>
          </w:p>
        </w:tc>
        <w:tc>
          <w:tcPr>
            <w:tcW w:w="1602" w:type="dxa"/>
            <w:gridSpan w:val="4"/>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企事业单位</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 xml:space="preserve"> 368个</w:t>
            </w:r>
          </w:p>
        </w:tc>
        <w:tc>
          <w:tcPr>
            <w:tcW w:w="1767" w:type="dxa"/>
            <w:gridSpan w:val="8"/>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vMerge w:val="restar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50</w:t>
            </w:r>
          </w:p>
        </w:tc>
        <w:tc>
          <w:tcPr>
            <w:tcW w:w="1602" w:type="dxa"/>
            <w:gridSpan w:val="4"/>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商铺</w:t>
            </w:r>
          </w:p>
        </w:tc>
        <w:tc>
          <w:tcPr>
            <w:tcW w:w="1288"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4141</w:t>
            </w:r>
          </w:p>
        </w:tc>
        <w:tc>
          <w:tcPr>
            <w:tcW w:w="1767" w:type="dxa"/>
            <w:gridSpan w:val="8"/>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36" w:type="dxa"/>
            <w:gridSpan w:val="10"/>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862" w:type="dxa"/>
            <w:gridSpan w:val="10"/>
            <w:vMerge w:val="continue"/>
            <w:tcBorders>
              <w:left w:val="nil"/>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81" w:type="dxa"/>
            <w:gridSpan w:val="10"/>
            <w:vMerge w:val="continue"/>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602" w:type="dxa"/>
            <w:gridSpan w:val="4"/>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270" w:hRule="atLeast"/>
        </w:trPr>
        <w:tc>
          <w:tcPr>
            <w:tcW w:w="1693" w:type="dxa"/>
            <w:gridSpan w:val="8"/>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合计</w:t>
            </w:r>
          </w:p>
        </w:tc>
        <w:tc>
          <w:tcPr>
            <w:tcW w:w="1288" w:type="dxa"/>
            <w:gridSpan w:val="4"/>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172</w:t>
            </w:r>
          </w:p>
        </w:tc>
        <w:tc>
          <w:tcPr>
            <w:tcW w:w="1767" w:type="dxa"/>
            <w:gridSpan w:val="8"/>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w:t>
            </w:r>
          </w:p>
        </w:tc>
        <w:tc>
          <w:tcPr>
            <w:tcW w:w="1736"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2</w:t>
            </w:r>
          </w:p>
        </w:tc>
        <w:tc>
          <w:tcPr>
            <w:tcW w:w="1862"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10</w:t>
            </w:r>
          </w:p>
        </w:tc>
        <w:tc>
          <w:tcPr>
            <w:tcW w:w="1781"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159</w:t>
            </w:r>
          </w:p>
        </w:tc>
        <w:tc>
          <w:tcPr>
            <w:tcW w:w="1602"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17"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3"/>
          <w:wAfter w:w="629" w:type="dxa"/>
          <w:trHeight w:val="587"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费用合计：</w:t>
            </w:r>
          </w:p>
        </w:tc>
        <w:tc>
          <w:tcPr>
            <w:tcW w:w="1288" w:type="dxa"/>
            <w:gridSpan w:val="4"/>
            <w:tcBorders>
              <w:top w:val="nil"/>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c>
          <w:tcPr>
            <w:tcW w:w="1767" w:type="dxa"/>
            <w:gridSpan w:val="8"/>
            <w:tcBorders>
              <w:top w:val="nil"/>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1*8000元/月*12月=96000元</w:t>
            </w:r>
          </w:p>
        </w:tc>
        <w:tc>
          <w:tcPr>
            <w:tcW w:w="1736" w:type="dxa"/>
            <w:gridSpan w:val="10"/>
            <w:tcBorders>
              <w:top w:val="nil"/>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2*6000元/月*12月=144000</w:t>
            </w:r>
          </w:p>
        </w:tc>
        <w:tc>
          <w:tcPr>
            <w:tcW w:w="1862" w:type="dxa"/>
            <w:gridSpan w:val="10"/>
            <w:tcBorders>
              <w:top w:val="nil"/>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10*4000元/月*12月=480000</w:t>
            </w:r>
          </w:p>
        </w:tc>
        <w:tc>
          <w:tcPr>
            <w:tcW w:w="1781" w:type="dxa"/>
            <w:gridSpan w:val="10"/>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 xml:space="preserve"> 159*2000元*12月=3816000</w:t>
            </w:r>
          </w:p>
        </w:tc>
        <w:tc>
          <w:tcPr>
            <w:tcW w:w="1602" w:type="dxa"/>
            <w:gridSpan w:val="4"/>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 xml:space="preserve"> 10*2200元/月*12月=264000</w:t>
            </w:r>
          </w:p>
        </w:tc>
        <w:tc>
          <w:tcPr>
            <w:tcW w:w="1717" w:type="dxa"/>
            <w:gridSpan w:val="6"/>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 xml:space="preserve"> 2*4000元/月*12月=96000</w:t>
            </w:r>
          </w:p>
        </w:tc>
      </w:tr>
      <w:tr>
        <w:tblPrEx>
          <w:tblCellMar>
            <w:top w:w="0" w:type="dxa"/>
            <w:left w:w="0" w:type="dxa"/>
            <w:bottom w:w="0" w:type="dxa"/>
            <w:right w:w="0" w:type="dxa"/>
          </w:tblCellMar>
        </w:tblPrEx>
        <w:trPr>
          <w:gridAfter w:val="3"/>
          <w:wAfter w:w="629" w:type="dxa"/>
          <w:trHeight w:val="511" w:hRule="atLeast"/>
        </w:trPr>
        <w:tc>
          <w:tcPr>
            <w:tcW w:w="1693"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4"/>
                <w:szCs w:val="24"/>
              </w:rPr>
            </w:pPr>
            <w:r>
              <w:rPr>
                <w:rFonts w:hint="eastAsia" w:ascii="宋体" w:hAnsi="宋体" w:eastAsia="宋体" w:cs="宋体"/>
                <w:kern w:val="0"/>
                <w:sz w:val="24"/>
                <w:szCs w:val="24"/>
              </w:rPr>
              <w:t>首年费用总计：</w:t>
            </w:r>
          </w:p>
        </w:tc>
        <w:tc>
          <w:tcPr>
            <w:tcW w:w="1288" w:type="dxa"/>
            <w:gridSpan w:val="4"/>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rPr>
                <w:rFonts w:ascii="宋体" w:hAnsi="宋体" w:eastAsia="宋体" w:cs="宋体"/>
                <w:sz w:val="24"/>
                <w:szCs w:val="24"/>
              </w:rPr>
            </w:pPr>
          </w:p>
        </w:tc>
        <w:tc>
          <w:tcPr>
            <w:tcW w:w="1767" w:type="dxa"/>
            <w:gridSpan w:val="8"/>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4"/>
                <w:szCs w:val="24"/>
              </w:rPr>
            </w:pPr>
            <w:r>
              <w:rPr>
                <w:rFonts w:hint="eastAsia" w:ascii="宋体" w:hAnsi="宋体" w:eastAsia="宋体" w:cs="宋体"/>
                <w:kern w:val="0"/>
                <w:sz w:val="24"/>
                <w:szCs w:val="24"/>
              </w:rPr>
              <w:t>4896000</w:t>
            </w:r>
          </w:p>
        </w:tc>
        <w:tc>
          <w:tcPr>
            <w:tcW w:w="8698" w:type="dxa"/>
            <w:gridSpan w:val="4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4"/>
                <w:szCs w:val="24"/>
              </w:rPr>
            </w:pPr>
          </w:p>
        </w:tc>
      </w:tr>
      <w:tr>
        <w:tblPrEx>
          <w:tblCellMar>
            <w:top w:w="0" w:type="dxa"/>
            <w:left w:w="0" w:type="dxa"/>
            <w:bottom w:w="0" w:type="dxa"/>
            <w:right w:w="0" w:type="dxa"/>
          </w:tblCellMar>
        </w:tblPrEx>
        <w:trPr>
          <w:gridAfter w:val="2"/>
          <w:wAfter w:w="186" w:type="dxa"/>
          <w:trHeight w:val="699" w:hRule="atLeast"/>
        </w:trPr>
        <w:tc>
          <w:tcPr>
            <w:tcW w:w="13889" w:type="dxa"/>
            <w:gridSpan w:val="61"/>
            <w:tcBorders>
              <w:top w:val="nil"/>
              <w:left w:val="nil"/>
              <w:bottom w:val="single" w:color="auto" w:sz="4" w:space="0"/>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b/>
                <w:kern w:val="0"/>
                <w:sz w:val="44"/>
                <w:szCs w:val="44"/>
              </w:rPr>
            </w:pPr>
          </w:p>
          <w:p>
            <w:pPr>
              <w:widowControl/>
              <w:jc w:val="center"/>
              <w:textAlignment w:val="center"/>
              <w:rPr>
                <w:rFonts w:ascii="宋体" w:hAnsi="宋体" w:eastAsia="宋体" w:cs="宋体"/>
                <w:b/>
                <w:sz w:val="44"/>
                <w:szCs w:val="44"/>
              </w:rPr>
            </w:pPr>
            <w:r>
              <w:rPr>
                <w:rFonts w:hint="eastAsia" w:ascii="宋体" w:hAnsi="宋体" w:eastAsia="宋体" w:cs="宋体"/>
                <w:b/>
                <w:kern w:val="0"/>
                <w:sz w:val="44"/>
                <w:szCs w:val="44"/>
              </w:rPr>
              <w:t>首年设备配置方案（费用）及其他费用</w:t>
            </w:r>
          </w:p>
        </w:tc>
      </w:tr>
      <w:tr>
        <w:tblPrEx>
          <w:tblCellMar>
            <w:top w:w="0" w:type="dxa"/>
            <w:left w:w="0" w:type="dxa"/>
            <w:bottom w:w="0" w:type="dxa"/>
            <w:right w:w="0" w:type="dxa"/>
          </w:tblCellMar>
        </w:tblPrEx>
        <w:trPr>
          <w:trHeight w:val="1651" w:hRule="atLeast"/>
        </w:trPr>
        <w:tc>
          <w:tcPr>
            <w:tcW w:w="1126" w:type="dxa"/>
            <w:gridSpan w:val="7"/>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区域名称</w:t>
            </w:r>
          </w:p>
        </w:tc>
        <w:tc>
          <w:tcPr>
            <w:tcW w:w="763" w:type="dxa"/>
            <w:gridSpan w:val="2"/>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户数</w:t>
            </w:r>
          </w:p>
        </w:tc>
        <w:tc>
          <w:tcPr>
            <w:tcW w:w="89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四分类</w:t>
            </w:r>
            <w:r>
              <w:rPr>
                <w:rFonts w:hint="eastAsia" w:ascii="宋体" w:hAnsi="宋体" w:eastAsia="宋体" w:cs="宋体"/>
                <w:kern w:val="0"/>
                <w:sz w:val="20"/>
                <w:szCs w:val="20"/>
              </w:rPr>
              <w:br w:type="textWrapping"/>
            </w:r>
            <w:r>
              <w:rPr>
                <w:rFonts w:hint="eastAsia" w:ascii="宋体" w:hAnsi="宋体" w:eastAsia="宋体" w:cs="宋体"/>
                <w:kern w:val="0"/>
                <w:sz w:val="20"/>
                <w:szCs w:val="20"/>
              </w:rPr>
              <w:t>可回收箱（套）</w:t>
            </w:r>
          </w:p>
        </w:tc>
        <w:tc>
          <w:tcPr>
            <w:tcW w:w="818" w:type="dxa"/>
            <w:gridSpan w:val="6"/>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厨余垃圾</w:t>
            </w:r>
            <w:r>
              <w:rPr>
                <w:rFonts w:hint="eastAsia" w:ascii="宋体" w:hAnsi="宋体" w:eastAsia="宋体" w:cs="宋体"/>
                <w:kern w:val="0"/>
                <w:sz w:val="20"/>
                <w:szCs w:val="20"/>
              </w:rPr>
              <w:br w:type="textWrapping"/>
            </w:r>
            <w:r>
              <w:rPr>
                <w:rFonts w:hint="eastAsia" w:ascii="宋体" w:hAnsi="宋体" w:eastAsia="宋体" w:cs="宋体"/>
                <w:kern w:val="0"/>
                <w:sz w:val="20"/>
                <w:szCs w:val="20"/>
              </w:rPr>
              <w:t>两联箱(套）</w:t>
            </w:r>
          </w:p>
        </w:tc>
        <w:tc>
          <w:tcPr>
            <w:tcW w:w="864" w:type="dxa"/>
            <w:gridSpan w:val="3"/>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有毒有害箱</w:t>
            </w:r>
            <w:r>
              <w:rPr>
                <w:rFonts w:hint="eastAsia" w:ascii="宋体" w:hAnsi="宋体" w:eastAsia="宋体" w:cs="宋体"/>
                <w:kern w:val="0"/>
                <w:sz w:val="20"/>
                <w:szCs w:val="20"/>
              </w:rPr>
              <w:br w:type="textWrapping"/>
            </w:r>
            <w:r>
              <w:rPr>
                <w:rFonts w:hint="eastAsia" w:ascii="宋体" w:hAnsi="宋体" w:eastAsia="宋体" w:cs="宋体"/>
                <w:kern w:val="0"/>
                <w:sz w:val="20"/>
                <w:szCs w:val="20"/>
              </w:rPr>
              <w:t>（个）</w:t>
            </w:r>
          </w:p>
        </w:tc>
        <w:tc>
          <w:tcPr>
            <w:tcW w:w="873" w:type="dxa"/>
            <w:gridSpan w:val="3"/>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 xml:space="preserve">  积分</w:t>
            </w:r>
            <w:r>
              <w:rPr>
                <w:rFonts w:hint="eastAsia" w:ascii="宋体" w:hAnsi="宋体" w:eastAsia="宋体" w:cs="宋体"/>
                <w:kern w:val="0"/>
                <w:sz w:val="20"/>
                <w:szCs w:val="20"/>
              </w:rPr>
              <w:br w:type="textWrapping"/>
            </w:r>
            <w:r>
              <w:rPr>
                <w:rFonts w:hint="eastAsia" w:ascii="宋体" w:hAnsi="宋体" w:eastAsia="宋体" w:cs="宋体"/>
                <w:kern w:val="0"/>
                <w:sz w:val="20"/>
                <w:szCs w:val="20"/>
              </w:rPr>
              <w:t xml:space="preserve"> 兑换机（个）</w:t>
            </w:r>
          </w:p>
        </w:tc>
        <w:tc>
          <w:tcPr>
            <w:tcW w:w="760" w:type="dxa"/>
            <w:gridSpan w:val="4"/>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遮阳棚</w:t>
            </w:r>
          </w:p>
        </w:tc>
        <w:tc>
          <w:tcPr>
            <w:tcW w:w="752" w:type="dxa"/>
            <w:gridSpan w:val="5"/>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地面硬化</w:t>
            </w:r>
          </w:p>
        </w:tc>
        <w:tc>
          <w:tcPr>
            <w:tcW w:w="842" w:type="dxa"/>
            <w:gridSpan w:val="5"/>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双面二码</w:t>
            </w:r>
            <w:r>
              <w:rPr>
                <w:rFonts w:hint="eastAsia" w:ascii="宋体" w:hAnsi="宋体" w:eastAsia="宋体" w:cs="宋体"/>
                <w:kern w:val="0"/>
                <w:sz w:val="20"/>
                <w:szCs w:val="20"/>
              </w:rPr>
              <w:br w:type="textWrapping"/>
            </w:r>
            <w:r>
              <w:rPr>
                <w:rFonts w:hint="eastAsia" w:ascii="宋体" w:hAnsi="宋体" w:eastAsia="宋体" w:cs="宋体"/>
                <w:kern w:val="0"/>
                <w:sz w:val="20"/>
                <w:szCs w:val="20"/>
              </w:rPr>
              <w:t>积分卡</w:t>
            </w:r>
          </w:p>
        </w:tc>
        <w:tc>
          <w:tcPr>
            <w:tcW w:w="743" w:type="dxa"/>
            <w:gridSpan w:val="6"/>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网卡（个）</w:t>
            </w:r>
          </w:p>
        </w:tc>
        <w:tc>
          <w:tcPr>
            <w:tcW w:w="851" w:type="dxa"/>
            <w:gridSpan w:val="4"/>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普通240L其他垃圾桶</w:t>
            </w:r>
          </w:p>
        </w:tc>
        <w:tc>
          <w:tcPr>
            <w:tcW w:w="1157" w:type="dxa"/>
            <w:gridSpan w:val="5"/>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普通240L厨余垃圾桶</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积分费用奖励</w:t>
            </w:r>
          </w:p>
        </w:tc>
        <w:tc>
          <w:tcPr>
            <w:tcW w:w="952" w:type="dxa"/>
            <w:gridSpan w:val="5"/>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 xml:space="preserve">  宣传</w:t>
            </w:r>
            <w:r>
              <w:rPr>
                <w:rFonts w:hint="eastAsia" w:ascii="宋体" w:hAnsi="宋体" w:eastAsia="宋体" w:cs="宋体"/>
                <w:kern w:val="0"/>
                <w:sz w:val="20"/>
                <w:szCs w:val="20"/>
              </w:rPr>
              <w:br w:type="textWrapping"/>
            </w:r>
            <w:r>
              <w:rPr>
                <w:rFonts w:hint="eastAsia" w:ascii="宋体" w:hAnsi="宋体" w:eastAsia="宋体" w:cs="宋体"/>
                <w:kern w:val="0"/>
                <w:sz w:val="20"/>
                <w:szCs w:val="20"/>
              </w:rPr>
              <w:t>费用/年</w:t>
            </w:r>
          </w:p>
        </w:tc>
        <w:tc>
          <w:tcPr>
            <w:tcW w:w="82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软件维护使用费6元/年/户</w:t>
            </w:r>
          </w:p>
        </w:tc>
        <w:tc>
          <w:tcPr>
            <w:tcW w:w="824" w:type="dxa"/>
            <w:gridSpan w:val="4"/>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电费/年</w:t>
            </w:r>
            <w:r>
              <w:rPr>
                <w:rFonts w:hint="eastAsia" w:ascii="宋体" w:hAnsi="宋体" w:eastAsia="宋体" w:cs="宋体"/>
                <w:kern w:val="0"/>
                <w:sz w:val="20"/>
                <w:szCs w:val="20"/>
              </w:rPr>
              <w:br w:type="textWrapping"/>
            </w:r>
            <w:r>
              <w:rPr>
                <w:rFonts w:hint="eastAsia" w:ascii="宋体" w:hAnsi="宋体" w:eastAsia="宋体" w:cs="宋体"/>
                <w:kern w:val="0"/>
                <w:sz w:val="20"/>
                <w:szCs w:val="20"/>
              </w:rPr>
              <w:t>（设备电费）</w:t>
            </w:r>
          </w:p>
        </w:tc>
      </w:tr>
      <w:tr>
        <w:tblPrEx>
          <w:tblCellMar>
            <w:top w:w="0" w:type="dxa"/>
            <w:left w:w="0" w:type="dxa"/>
            <w:bottom w:w="0" w:type="dxa"/>
            <w:right w:w="0" w:type="dxa"/>
          </w:tblCellMar>
        </w:tblPrEx>
        <w:trPr>
          <w:trHeight w:val="270" w:hRule="atLeast"/>
        </w:trPr>
        <w:tc>
          <w:tcPr>
            <w:tcW w:w="1126" w:type="dxa"/>
            <w:gridSpan w:val="7"/>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铁北社区</w:t>
            </w:r>
          </w:p>
        </w:tc>
        <w:tc>
          <w:tcPr>
            <w:tcW w:w="763" w:type="dxa"/>
            <w:gridSpan w:val="2"/>
            <w:tcBorders>
              <w:top w:val="single" w:color="auto" w:sz="4" w:space="0"/>
              <w:left w:val="nil"/>
              <w:bottom w:val="nil"/>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3636</w:t>
            </w:r>
          </w:p>
        </w:tc>
        <w:tc>
          <w:tcPr>
            <w:tcW w:w="897"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18" w:type="dxa"/>
            <w:gridSpan w:val="6"/>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64" w:type="dxa"/>
            <w:gridSpan w:val="3"/>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73" w:type="dxa"/>
            <w:gridSpan w:val="3"/>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760" w:type="dxa"/>
            <w:gridSpan w:val="4"/>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752" w:type="dxa"/>
            <w:gridSpan w:val="5"/>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42" w:type="dxa"/>
            <w:gridSpan w:val="5"/>
            <w:tcBorders>
              <w:top w:val="single" w:color="auto" w:sz="4" w:space="0"/>
              <w:left w:val="nil"/>
              <w:bottom w:val="nil"/>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3636</w:t>
            </w:r>
          </w:p>
        </w:tc>
        <w:tc>
          <w:tcPr>
            <w:tcW w:w="743" w:type="dxa"/>
            <w:gridSpan w:val="6"/>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10</w:t>
            </w:r>
          </w:p>
        </w:tc>
        <w:tc>
          <w:tcPr>
            <w:tcW w:w="851" w:type="dxa"/>
            <w:gridSpan w:val="4"/>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52</w:t>
            </w:r>
          </w:p>
        </w:tc>
        <w:tc>
          <w:tcPr>
            <w:tcW w:w="1157" w:type="dxa"/>
            <w:gridSpan w:val="5"/>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52</w:t>
            </w:r>
          </w:p>
        </w:tc>
        <w:tc>
          <w:tcPr>
            <w:tcW w:w="1026" w:type="dxa"/>
            <w:gridSpan w:val="2"/>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87264</w:t>
            </w:r>
          </w:p>
        </w:tc>
        <w:tc>
          <w:tcPr>
            <w:tcW w:w="952" w:type="dxa"/>
            <w:gridSpan w:val="5"/>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10000</w:t>
            </w:r>
          </w:p>
        </w:tc>
        <w:tc>
          <w:tcPr>
            <w:tcW w:w="827" w:type="dxa"/>
            <w:tcBorders>
              <w:top w:val="single" w:color="auto" w:sz="4" w:space="0"/>
              <w:left w:val="nil"/>
              <w:bottom w:val="nil"/>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21816</w:t>
            </w:r>
          </w:p>
        </w:tc>
        <w:tc>
          <w:tcPr>
            <w:tcW w:w="824" w:type="dxa"/>
            <w:gridSpan w:val="4"/>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4800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铁南社区</w:t>
            </w:r>
          </w:p>
        </w:tc>
        <w:tc>
          <w:tcPr>
            <w:tcW w:w="76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4791</w:t>
            </w: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18"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64"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w:t>
            </w:r>
          </w:p>
        </w:tc>
        <w:tc>
          <w:tcPr>
            <w:tcW w:w="873"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7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w:t>
            </w:r>
          </w:p>
        </w:tc>
        <w:tc>
          <w:tcPr>
            <w:tcW w:w="84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4791</w:t>
            </w:r>
          </w:p>
        </w:tc>
        <w:tc>
          <w:tcPr>
            <w:tcW w:w="743"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12</w:t>
            </w:r>
          </w:p>
        </w:tc>
        <w:tc>
          <w:tcPr>
            <w:tcW w:w="851"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68</w:t>
            </w:r>
          </w:p>
        </w:tc>
        <w:tc>
          <w:tcPr>
            <w:tcW w:w="1157"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68</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114984</w:t>
            </w:r>
          </w:p>
        </w:tc>
        <w:tc>
          <w:tcPr>
            <w:tcW w:w="9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13000</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28746</w:t>
            </w:r>
          </w:p>
        </w:tc>
        <w:tc>
          <w:tcPr>
            <w:tcW w:w="824"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6000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迎宾社区</w:t>
            </w:r>
          </w:p>
        </w:tc>
        <w:tc>
          <w:tcPr>
            <w:tcW w:w="76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4482</w:t>
            </w: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18"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64"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73"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7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4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4482</w:t>
            </w:r>
          </w:p>
        </w:tc>
        <w:tc>
          <w:tcPr>
            <w:tcW w:w="743"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12</w:t>
            </w:r>
          </w:p>
        </w:tc>
        <w:tc>
          <w:tcPr>
            <w:tcW w:w="851"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64</w:t>
            </w:r>
          </w:p>
        </w:tc>
        <w:tc>
          <w:tcPr>
            <w:tcW w:w="1157"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64</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107568</w:t>
            </w:r>
          </w:p>
        </w:tc>
        <w:tc>
          <w:tcPr>
            <w:tcW w:w="9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10000</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26892</w:t>
            </w:r>
          </w:p>
        </w:tc>
        <w:tc>
          <w:tcPr>
            <w:tcW w:w="824"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4800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德惠社区</w:t>
            </w:r>
          </w:p>
        </w:tc>
        <w:tc>
          <w:tcPr>
            <w:tcW w:w="76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3731</w:t>
            </w: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18"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64"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73"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7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4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3731</w:t>
            </w:r>
          </w:p>
        </w:tc>
        <w:tc>
          <w:tcPr>
            <w:tcW w:w="743"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10</w:t>
            </w:r>
          </w:p>
        </w:tc>
        <w:tc>
          <w:tcPr>
            <w:tcW w:w="851"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53</w:t>
            </w:r>
          </w:p>
        </w:tc>
        <w:tc>
          <w:tcPr>
            <w:tcW w:w="1157"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53</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89544</w:t>
            </w:r>
          </w:p>
        </w:tc>
        <w:tc>
          <w:tcPr>
            <w:tcW w:w="9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10000</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22386</w:t>
            </w:r>
          </w:p>
        </w:tc>
        <w:tc>
          <w:tcPr>
            <w:tcW w:w="824"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4800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峪苑社区</w:t>
            </w:r>
          </w:p>
        </w:tc>
        <w:tc>
          <w:tcPr>
            <w:tcW w:w="76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2232</w:t>
            </w: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818"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64"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873"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7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84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2232</w:t>
            </w:r>
          </w:p>
        </w:tc>
        <w:tc>
          <w:tcPr>
            <w:tcW w:w="743"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851"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32</w:t>
            </w:r>
          </w:p>
        </w:tc>
        <w:tc>
          <w:tcPr>
            <w:tcW w:w="1157"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32</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53568</w:t>
            </w:r>
          </w:p>
        </w:tc>
        <w:tc>
          <w:tcPr>
            <w:tcW w:w="9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7000</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13392</w:t>
            </w:r>
          </w:p>
        </w:tc>
        <w:tc>
          <w:tcPr>
            <w:tcW w:w="824"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2400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昌盛社区</w:t>
            </w:r>
          </w:p>
        </w:tc>
        <w:tc>
          <w:tcPr>
            <w:tcW w:w="76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2399</w:t>
            </w: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818"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64"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873"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7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84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2399</w:t>
            </w:r>
          </w:p>
        </w:tc>
        <w:tc>
          <w:tcPr>
            <w:tcW w:w="743"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851"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34</w:t>
            </w:r>
          </w:p>
        </w:tc>
        <w:tc>
          <w:tcPr>
            <w:tcW w:w="1157"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34</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57576</w:t>
            </w:r>
          </w:p>
        </w:tc>
        <w:tc>
          <w:tcPr>
            <w:tcW w:w="9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7000</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14394</w:t>
            </w:r>
          </w:p>
        </w:tc>
        <w:tc>
          <w:tcPr>
            <w:tcW w:w="824"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2400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和诚社区</w:t>
            </w:r>
          </w:p>
        </w:tc>
        <w:tc>
          <w:tcPr>
            <w:tcW w:w="76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6594</w:t>
            </w: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w:t>
            </w:r>
          </w:p>
        </w:tc>
        <w:tc>
          <w:tcPr>
            <w:tcW w:w="818"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w:t>
            </w:r>
          </w:p>
        </w:tc>
        <w:tc>
          <w:tcPr>
            <w:tcW w:w="864"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873"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w:t>
            </w:r>
          </w:p>
        </w:tc>
        <w:tc>
          <w:tcPr>
            <w:tcW w:w="7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84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6594</w:t>
            </w:r>
          </w:p>
        </w:tc>
        <w:tc>
          <w:tcPr>
            <w:tcW w:w="743"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18</w:t>
            </w:r>
          </w:p>
        </w:tc>
        <w:tc>
          <w:tcPr>
            <w:tcW w:w="851"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94</w:t>
            </w:r>
          </w:p>
        </w:tc>
        <w:tc>
          <w:tcPr>
            <w:tcW w:w="1157"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94</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158256</w:t>
            </w:r>
          </w:p>
        </w:tc>
        <w:tc>
          <w:tcPr>
            <w:tcW w:w="9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20000</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39564</w:t>
            </w:r>
          </w:p>
        </w:tc>
        <w:tc>
          <w:tcPr>
            <w:tcW w:w="824"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8400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曙光社区</w:t>
            </w:r>
          </w:p>
        </w:tc>
        <w:tc>
          <w:tcPr>
            <w:tcW w:w="76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2940</w:t>
            </w: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18"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64"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73"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7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4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2940</w:t>
            </w:r>
          </w:p>
        </w:tc>
        <w:tc>
          <w:tcPr>
            <w:tcW w:w="743"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9</w:t>
            </w:r>
          </w:p>
        </w:tc>
        <w:tc>
          <w:tcPr>
            <w:tcW w:w="851"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42</w:t>
            </w:r>
          </w:p>
        </w:tc>
        <w:tc>
          <w:tcPr>
            <w:tcW w:w="1157"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42</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70560</w:t>
            </w:r>
          </w:p>
        </w:tc>
        <w:tc>
          <w:tcPr>
            <w:tcW w:w="9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7000</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17640</w:t>
            </w:r>
          </w:p>
        </w:tc>
        <w:tc>
          <w:tcPr>
            <w:tcW w:w="824"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3600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佳苑社区</w:t>
            </w:r>
          </w:p>
        </w:tc>
        <w:tc>
          <w:tcPr>
            <w:tcW w:w="763" w:type="dxa"/>
            <w:gridSpan w:val="2"/>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4135</w:t>
            </w:r>
          </w:p>
        </w:tc>
        <w:tc>
          <w:tcPr>
            <w:tcW w:w="897"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18" w:type="dxa"/>
            <w:gridSpan w:val="6"/>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64" w:type="dxa"/>
            <w:gridSpan w:val="3"/>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73" w:type="dxa"/>
            <w:gridSpan w:val="3"/>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760" w:type="dxa"/>
            <w:gridSpan w:val="4"/>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752" w:type="dxa"/>
            <w:gridSpan w:val="5"/>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w:t>
            </w:r>
          </w:p>
        </w:tc>
        <w:tc>
          <w:tcPr>
            <w:tcW w:w="842" w:type="dxa"/>
            <w:gridSpan w:val="5"/>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4135</w:t>
            </w:r>
          </w:p>
        </w:tc>
        <w:tc>
          <w:tcPr>
            <w:tcW w:w="743" w:type="dxa"/>
            <w:gridSpan w:val="6"/>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10</w:t>
            </w:r>
          </w:p>
        </w:tc>
        <w:tc>
          <w:tcPr>
            <w:tcW w:w="851" w:type="dxa"/>
            <w:gridSpan w:val="4"/>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59</w:t>
            </w:r>
          </w:p>
        </w:tc>
        <w:tc>
          <w:tcPr>
            <w:tcW w:w="1157" w:type="dxa"/>
            <w:gridSpan w:val="5"/>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59</w:t>
            </w:r>
          </w:p>
        </w:tc>
        <w:tc>
          <w:tcPr>
            <w:tcW w:w="1026" w:type="dxa"/>
            <w:gridSpan w:val="2"/>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99240</w:t>
            </w:r>
          </w:p>
        </w:tc>
        <w:tc>
          <w:tcPr>
            <w:tcW w:w="952" w:type="dxa"/>
            <w:gridSpan w:val="5"/>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12000</w:t>
            </w:r>
          </w:p>
        </w:tc>
        <w:tc>
          <w:tcPr>
            <w:tcW w:w="827"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24810</w:t>
            </w:r>
          </w:p>
        </w:tc>
        <w:tc>
          <w:tcPr>
            <w:tcW w:w="824" w:type="dxa"/>
            <w:gridSpan w:val="4"/>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4800</w:t>
            </w:r>
          </w:p>
        </w:tc>
      </w:tr>
      <w:tr>
        <w:tblPrEx>
          <w:tblCellMar>
            <w:top w:w="0" w:type="dxa"/>
            <w:left w:w="0" w:type="dxa"/>
            <w:bottom w:w="0" w:type="dxa"/>
            <w:right w:w="0" w:type="dxa"/>
          </w:tblCellMar>
        </w:tblPrEx>
        <w:trPr>
          <w:gridAfter w:val="2"/>
          <w:wAfter w:w="186" w:type="dxa"/>
          <w:trHeight w:val="676" w:hRule="atLeast"/>
        </w:trPr>
        <w:tc>
          <w:tcPr>
            <w:tcW w:w="13889" w:type="dxa"/>
            <w:gridSpan w:val="61"/>
            <w:tcBorders>
              <w:top w:val="single" w:color="auto" w:sz="4" w:space="0"/>
              <w:left w:val="nil"/>
              <w:bottom w:val="single" w:color="auto" w:sz="4" w:space="0"/>
              <w:right w:val="nil"/>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kern w:val="0"/>
                <w:sz w:val="20"/>
                <w:szCs w:val="20"/>
              </w:rPr>
            </w:pPr>
            <w:r>
              <w:rPr>
                <w:rFonts w:hint="eastAsia" w:ascii="宋体" w:hAnsi="宋体" w:eastAsia="宋体" w:cs="宋体"/>
                <w:b/>
                <w:kern w:val="0"/>
                <w:sz w:val="44"/>
                <w:szCs w:val="44"/>
              </w:rPr>
              <w:t>首年设备配置方案（费用）及其他费用</w:t>
            </w:r>
          </w:p>
        </w:tc>
      </w:tr>
      <w:tr>
        <w:tblPrEx>
          <w:tblCellMar>
            <w:top w:w="0" w:type="dxa"/>
            <w:left w:w="0" w:type="dxa"/>
            <w:bottom w:w="0" w:type="dxa"/>
            <w:right w:w="0" w:type="dxa"/>
          </w:tblCellMar>
        </w:tblPrEx>
        <w:trPr>
          <w:trHeight w:val="1650" w:hRule="atLeast"/>
        </w:trPr>
        <w:tc>
          <w:tcPr>
            <w:tcW w:w="1126" w:type="dxa"/>
            <w:gridSpan w:val="7"/>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center"/>
              <w:textAlignment w:val="center"/>
              <w:rPr>
                <w:rFonts w:ascii="宋体" w:hAnsi="宋体" w:eastAsia="宋体" w:cs="宋体"/>
                <w:kern w:val="0"/>
                <w:sz w:val="20"/>
                <w:szCs w:val="20"/>
              </w:rPr>
            </w:pPr>
            <w:r>
              <w:rPr>
                <w:rFonts w:hint="eastAsia" w:ascii="宋体" w:hAnsi="宋体" w:eastAsia="宋体" w:cs="宋体"/>
                <w:kern w:val="0"/>
                <w:sz w:val="20"/>
                <w:szCs w:val="20"/>
              </w:rPr>
              <w:t>区域名称</w:t>
            </w:r>
          </w:p>
        </w:tc>
        <w:tc>
          <w:tcPr>
            <w:tcW w:w="763" w:type="dxa"/>
            <w:gridSpan w:val="2"/>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center"/>
              <w:textAlignment w:val="center"/>
              <w:rPr>
                <w:rFonts w:ascii="宋体" w:hAnsi="宋体" w:eastAsia="宋体" w:cs="宋体"/>
                <w:kern w:val="0"/>
                <w:sz w:val="20"/>
                <w:szCs w:val="20"/>
              </w:rPr>
            </w:pPr>
            <w:r>
              <w:rPr>
                <w:rFonts w:hint="eastAsia" w:ascii="宋体" w:hAnsi="宋体" w:eastAsia="宋体" w:cs="宋体"/>
                <w:kern w:val="0"/>
                <w:sz w:val="20"/>
                <w:szCs w:val="20"/>
              </w:rPr>
              <w:t>户数</w:t>
            </w:r>
          </w:p>
        </w:tc>
        <w:tc>
          <w:tcPr>
            <w:tcW w:w="897" w:type="dxa"/>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四分类</w:t>
            </w:r>
            <w:r>
              <w:rPr>
                <w:rFonts w:hint="eastAsia" w:ascii="宋体" w:hAnsi="宋体" w:eastAsia="宋体" w:cs="宋体"/>
                <w:kern w:val="0"/>
                <w:sz w:val="20"/>
                <w:szCs w:val="20"/>
              </w:rPr>
              <w:br w:type="textWrapping"/>
            </w:r>
            <w:r>
              <w:rPr>
                <w:rFonts w:hint="eastAsia" w:ascii="宋体" w:hAnsi="宋体" w:eastAsia="宋体" w:cs="宋体"/>
                <w:kern w:val="0"/>
                <w:sz w:val="20"/>
                <w:szCs w:val="20"/>
              </w:rPr>
              <w:t>可回收箱（套）</w:t>
            </w:r>
          </w:p>
        </w:tc>
        <w:tc>
          <w:tcPr>
            <w:tcW w:w="818" w:type="dxa"/>
            <w:gridSpan w:val="6"/>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厨余垃圾</w:t>
            </w:r>
            <w:r>
              <w:rPr>
                <w:rFonts w:hint="eastAsia" w:ascii="宋体" w:hAnsi="宋体" w:eastAsia="宋体" w:cs="宋体"/>
                <w:kern w:val="0"/>
                <w:sz w:val="20"/>
                <w:szCs w:val="20"/>
              </w:rPr>
              <w:br w:type="textWrapping"/>
            </w:r>
            <w:r>
              <w:rPr>
                <w:rFonts w:hint="eastAsia" w:ascii="宋体" w:hAnsi="宋体" w:eastAsia="宋体" w:cs="宋体"/>
                <w:kern w:val="0"/>
                <w:sz w:val="20"/>
                <w:szCs w:val="20"/>
              </w:rPr>
              <w:t>两联箱(套）</w:t>
            </w:r>
          </w:p>
        </w:tc>
        <w:tc>
          <w:tcPr>
            <w:tcW w:w="864" w:type="dxa"/>
            <w:gridSpan w:val="3"/>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有毒有害箱</w:t>
            </w:r>
            <w:r>
              <w:rPr>
                <w:rFonts w:hint="eastAsia" w:ascii="宋体" w:hAnsi="宋体" w:eastAsia="宋体" w:cs="宋体"/>
                <w:kern w:val="0"/>
                <w:sz w:val="20"/>
                <w:szCs w:val="20"/>
              </w:rPr>
              <w:br w:type="textWrapping"/>
            </w:r>
            <w:r>
              <w:rPr>
                <w:rFonts w:hint="eastAsia" w:ascii="宋体" w:hAnsi="宋体" w:eastAsia="宋体" w:cs="宋体"/>
                <w:kern w:val="0"/>
                <w:sz w:val="20"/>
                <w:szCs w:val="20"/>
              </w:rPr>
              <w:t>（个）</w:t>
            </w:r>
          </w:p>
        </w:tc>
        <w:tc>
          <w:tcPr>
            <w:tcW w:w="873" w:type="dxa"/>
            <w:gridSpan w:val="3"/>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 xml:space="preserve">  积分</w:t>
            </w:r>
            <w:r>
              <w:rPr>
                <w:rFonts w:hint="eastAsia" w:ascii="宋体" w:hAnsi="宋体" w:eastAsia="宋体" w:cs="宋体"/>
                <w:kern w:val="0"/>
                <w:sz w:val="20"/>
                <w:szCs w:val="20"/>
              </w:rPr>
              <w:br w:type="textWrapping"/>
            </w:r>
            <w:r>
              <w:rPr>
                <w:rFonts w:hint="eastAsia" w:ascii="宋体" w:hAnsi="宋体" w:eastAsia="宋体" w:cs="宋体"/>
                <w:kern w:val="0"/>
                <w:sz w:val="20"/>
                <w:szCs w:val="20"/>
              </w:rPr>
              <w:t xml:space="preserve"> 兑换机（个）</w:t>
            </w:r>
          </w:p>
        </w:tc>
        <w:tc>
          <w:tcPr>
            <w:tcW w:w="760" w:type="dxa"/>
            <w:gridSpan w:val="4"/>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遮阳棚</w:t>
            </w:r>
          </w:p>
        </w:tc>
        <w:tc>
          <w:tcPr>
            <w:tcW w:w="752" w:type="dxa"/>
            <w:gridSpan w:val="5"/>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地面硬化</w:t>
            </w:r>
          </w:p>
        </w:tc>
        <w:tc>
          <w:tcPr>
            <w:tcW w:w="842" w:type="dxa"/>
            <w:gridSpan w:val="5"/>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双面二码</w:t>
            </w:r>
            <w:r>
              <w:rPr>
                <w:rFonts w:hint="eastAsia" w:ascii="宋体" w:hAnsi="宋体" w:eastAsia="宋体" w:cs="宋体"/>
                <w:kern w:val="0"/>
                <w:sz w:val="20"/>
                <w:szCs w:val="20"/>
              </w:rPr>
              <w:br w:type="textWrapping"/>
            </w:r>
            <w:r>
              <w:rPr>
                <w:rFonts w:hint="eastAsia" w:ascii="宋体" w:hAnsi="宋体" w:eastAsia="宋体" w:cs="宋体"/>
                <w:kern w:val="0"/>
                <w:sz w:val="20"/>
                <w:szCs w:val="20"/>
              </w:rPr>
              <w:t>积分卡</w:t>
            </w:r>
          </w:p>
        </w:tc>
        <w:tc>
          <w:tcPr>
            <w:tcW w:w="743" w:type="dxa"/>
            <w:gridSpan w:val="6"/>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网卡（个）</w:t>
            </w:r>
          </w:p>
        </w:tc>
        <w:tc>
          <w:tcPr>
            <w:tcW w:w="851" w:type="dxa"/>
            <w:gridSpan w:val="4"/>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普通240L其他垃圾桶</w:t>
            </w:r>
          </w:p>
        </w:tc>
        <w:tc>
          <w:tcPr>
            <w:tcW w:w="1157" w:type="dxa"/>
            <w:gridSpan w:val="5"/>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普通240L厨余垃圾桶</w:t>
            </w:r>
          </w:p>
        </w:tc>
        <w:tc>
          <w:tcPr>
            <w:tcW w:w="1026" w:type="dxa"/>
            <w:gridSpan w:val="2"/>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pPr>
              <w:widowControl/>
              <w:spacing w:line="500" w:lineRule="exact"/>
              <w:jc w:val="center"/>
              <w:textAlignment w:val="center"/>
              <w:rPr>
                <w:rFonts w:ascii="宋体" w:hAnsi="宋体" w:eastAsia="宋体" w:cs="宋体"/>
                <w:kern w:val="0"/>
                <w:sz w:val="20"/>
                <w:szCs w:val="20"/>
              </w:rPr>
            </w:pPr>
            <w:r>
              <w:rPr>
                <w:rFonts w:hint="eastAsia" w:ascii="宋体" w:hAnsi="宋体" w:eastAsia="宋体" w:cs="宋体"/>
                <w:kern w:val="0"/>
                <w:sz w:val="20"/>
                <w:szCs w:val="20"/>
              </w:rPr>
              <w:t>积分费用奖励</w:t>
            </w:r>
          </w:p>
        </w:tc>
        <w:tc>
          <w:tcPr>
            <w:tcW w:w="952" w:type="dxa"/>
            <w:gridSpan w:val="5"/>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 xml:space="preserve">  宣传</w:t>
            </w:r>
            <w:r>
              <w:rPr>
                <w:rFonts w:hint="eastAsia" w:ascii="宋体" w:hAnsi="宋体" w:eastAsia="宋体" w:cs="宋体"/>
                <w:kern w:val="0"/>
                <w:sz w:val="20"/>
                <w:szCs w:val="20"/>
              </w:rPr>
              <w:br w:type="textWrapping"/>
            </w:r>
            <w:r>
              <w:rPr>
                <w:rFonts w:hint="eastAsia" w:ascii="宋体" w:hAnsi="宋体" w:eastAsia="宋体" w:cs="宋体"/>
                <w:kern w:val="0"/>
                <w:sz w:val="20"/>
                <w:szCs w:val="20"/>
              </w:rPr>
              <w:t>费用/年</w:t>
            </w:r>
          </w:p>
        </w:tc>
        <w:tc>
          <w:tcPr>
            <w:tcW w:w="827" w:type="dxa"/>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软件维护使用费6元/年/户</w:t>
            </w:r>
          </w:p>
        </w:tc>
        <w:tc>
          <w:tcPr>
            <w:tcW w:w="824" w:type="dxa"/>
            <w:gridSpan w:val="4"/>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spacing w:line="500" w:lineRule="exact"/>
              <w:jc w:val="left"/>
              <w:textAlignment w:val="center"/>
              <w:rPr>
                <w:rFonts w:ascii="宋体" w:hAnsi="宋体" w:eastAsia="宋体" w:cs="宋体"/>
                <w:kern w:val="0"/>
                <w:sz w:val="20"/>
                <w:szCs w:val="20"/>
              </w:rPr>
            </w:pPr>
            <w:r>
              <w:rPr>
                <w:rFonts w:hint="eastAsia" w:ascii="宋体" w:hAnsi="宋体" w:eastAsia="宋体" w:cs="宋体"/>
                <w:kern w:val="0"/>
                <w:sz w:val="20"/>
                <w:szCs w:val="20"/>
              </w:rPr>
              <w:t>电费/年</w:t>
            </w:r>
            <w:r>
              <w:rPr>
                <w:rFonts w:hint="eastAsia" w:ascii="宋体" w:hAnsi="宋体" w:eastAsia="宋体" w:cs="宋体"/>
                <w:kern w:val="0"/>
                <w:sz w:val="20"/>
                <w:szCs w:val="20"/>
              </w:rPr>
              <w:br w:type="textWrapping"/>
            </w:r>
            <w:r>
              <w:rPr>
                <w:rFonts w:hint="eastAsia" w:ascii="宋体" w:hAnsi="宋体" w:eastAsia="宋体" w:cs="宋体"/>
                <w:kern w:val="0"/>
                <w:sz w:val="20"/>
                <w:szCs w:val="20"/>
              </w:rPr>
              <w:t>（设备电费）</w:t>
            </w:r>
          </w:p>
        </w:tc>
      </w:tr>
      <w:tr>
        <w:tblPrEx>
          <w:tblCellMar>
            <w:top w:w="0" w:type="dxa"/>
            <w:left w:w="0" w:type="dxa"/>
            <w:bottom w:w="0" w:type="dxa"/>
            <w:right w:w="0" w:type="dxa"/>
          </w:tblCellMar>
        </w:tblPrEx>
        <w:trPr>
          <w:trHeight w:val="270" w:hRule="atLeast"/>
        </w:trPr>
        <w:tc>
          <w:tcPr>
            <w:tcW w:w="1126" w:type="dxa"/>
            <w:gridSpan w:val="7"/>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朝晖社区</w:t>
            </w:r>
          </w:p>
        </w:tc>
        <w:tc>
          <w:tcPr>
            <w:tcW w:w="763" w:type="dxa"/>
            <w:gridSpan w:val="2"/>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2695</w:t>
            </w:r>
          </w:p>
        </w:tc>
        <w:tc>
          <w:tcPr>
            <w:tcW w:w="897"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818" w:type="dxa"/>
            <w:gridSpan w:val="6"/>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64" w:type="dxa"/>
            <w:gridSpan w:val="3"/>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73" w:type="dxa"/>
            <w:gridSpan w:val="3"/>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760" w:type="dxa"/>
            <w:gridSpan w:val="4"/>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752" w:type="dxa"/>
            <w:gridSpan w:val="5"/>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42" w:type="dxa"/>
            <w:gridSpan w:val="5"/>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2695</w:t>
            </w:r>
          </w:p>
        </w:tc>
        <w:tc>
          <w:tcPr>
            <w:tcW w:w="743" w:type="dxa"/>
            <w:gridSpan w:val="6"/>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851" w:type="dxa"/>
            <w:gridSpan w:val="4"/>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39</w:t>
            </w:r>
          </w:p>
        </w:tc>
        <w:tc>
          <w:tcPr>
            <w:tcW w:w="1157" w:type="dxa"/>
            <w:gridSpan w:val="5"/>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39</w:t>
            </w:r>
          </w:p>
        </w:tc>
        <w:tc>
          <w:tcPr>
            <w:tcW w:w="1026" w:type="dxa"/>
            <w:gridSpan w:val="2"/>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64680</w:t>
            </w:r>
          </w:p>
        </w:tc>
        <w:tc>
          <w:tcPr>
            <w:tcW w:w="952" w:type="dxa"/>
            <w:gridSpan w:val="5"/>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7000</w:t>
            </w:r>
          </w:p>
        </w:tc>
        <w:tc>
          <w:tcPr>
            <w:tcW w:w="827"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16170</w:t>
            </w:r>
          </w:p>
        </w:tc>
        <w:tc>
          <w:tcPr>
            <w:tcW w:w="824" w:type="dxa"/>
            <w:gridSpan w:val="4"/>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3600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紫轩社区</w:t>
            </w:r>
          </w:p>
        </w:tc>
        <w:tc>
          <w:tcPr>
            <w:tcW w:w="76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7803</w:t>
            </w: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818"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864"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8</w:t>
            </w:r>
          </w:p>
        </w:tc>
        <w:tc>
          <w:tcPr>
            <w:tcW w:w="873"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7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8</w:t>
            </w:r>
          </w:p>
        </w:tc>
        <w:tc>
          <w:tcPr>
            <w:tcW w:w="84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7803</w:t>
            </w:r>
          </w:p>
        </w:tc>
        <w:tc>
          <w:tcPr>
            <w:tcW w:w="743"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21</w:t>
            </w:r>
          </w:p>
        </w:tc>
        <w:tc>
          <w:tcPr>
            <w:tcW w:w="851"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111</w:t>
            </w:r>
          </w:p>
        </w:tc>
        <w:tc>
          <w:tcPr>
            <w:tcW w:w="1157"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111</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187272</w:t>
            </w:r>
          </w:p>
        </w:tc>
        <w:tc>
          <w:tcPr>
            <w:tcW w:w="9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22000</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46818</w:t>
            </w:r>
          </w:p>
        </w:tc>
        <w:tc>
          <w:tcPr>
            <w:tcW w:w="824"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9600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明珠社区</w:t>
            </w:r>
          </w:p>
        </w:tc>
        <w:tc>
          <w:tcPr>
            <w:tcW w:w="76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7056</w:t>
            </w: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w:t>
            </w:r>
          </w:p>
        </w:tc>
        <w:tc>
          <w:tcPr>
            <w:tcW w:w="818"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864"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873"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w:t>
            </w:r>
          </w:p>
        </w:tc>
        <w:tc>
          <w:tcPr>
            <w:tcW w:w="7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84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7056</w:t>
            </w:r>
          </w:p>
        </w:tc>
        <w:tc>
          <w:tcPr>
            <w:tcW w:w="743"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19</w:t>
            </w:r>
          </w:p>
        </w:tc>
        <w:tc>
          <w:tcPr>
            <w:tcW w:w="851"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100</w:t>
            </w:r>
          </w:p>
        </w:tc>
        <w:tc>
          <w:tcPr>
            <w:tcW w:w="1157"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100</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169344</w:t>
            </w:r>
          </w:p>
        </w:tc>
        <w:tc>
          <w:tcPr>
            <w:tcW w:w="9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21000</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42336</w:t>
            </w:r>
          </w:p>
        </w:tc>
        <w:tc>
          <w:tcPr>
            <w:tcW w:w="824"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8400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南湖社区</w:t>
            </w:r>
          </w:p>
        </w:tc>
        <w:tc>
          <w:tcPr>
            <w:tcW w:w="76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2808</w:t>
            </w: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818"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64"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73"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w:t>
            </w:r>
          </w:p>
        </w:tc>
        <w:tc>
          <w:tcPr>
            <w:tcW w:w="7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w:t>
            </w:r>
          </w:p>
        </w:tc>
        <w:tc>
          <w:tcPr>
            <w:tcW w:w="84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2808</w:t>
            </w:r>
          </w:p>
        </w:tc>
        <w:tc>
          <w:tcPr>
            <w:tcW w:w="743"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w:t>
            </w:r>
          </w:p>
        </w:tc>
        <w:tc>
          <w:tcPr>
            <w:tcW w:w="851"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40</w:t>
            </w:r>
          </w:p>
        </w:tc>
        <w:tc>
          <w:tcPr>
            <w:tcW w:w="1157"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40</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67392</w:t>
            </w:r>
          </w:p>
        </w:tc>
        <w:tc>
          <w:tcPr>
            <w:tcW w:w="9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7000</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16848</w:t>
            </w:r>
          </w:p>
        </w:tc>
        <w:tc>
          <w:tcPr>
            <w:tcW w:w="824"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3600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企事业单位</w:t>
            </w:r>
          </w:p>
        </w:tc>
        <w:tc>
          <w:tcPr>
            <w:tcW w:w="763"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368个</w:t>
            </w:r>
          </w:p>
        </w:tc>
        <w:tc>
          <w:tcPr>
            <w:tcW w:w="8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100</w:t>
            </w:r>
          </w:p>
        </w:tc>
        <w:tc>
          <w:tcPr>
            <w:tcW w:w="818"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c>
          <w:tcPr>
            <w:tcW w:w="864"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368</w:t>
            </w:r>
          </w:p>
        </w:tc>
        <w:tc>
          <w:tcPr>
            <w:tcW w:w="873"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100</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100</w:t>
            </w:r>
          </w:p>
        </w:tc>
        <w:tc>
          <w:tcPr>
            <w:tcW w:w="7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200</w:t>
            </w:r>
          </w:p>
        </w:tc>
        <w:tc>
          <w:tcPr>
            <w:tcW w:w="84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5000</w:t>
            </w:r>
          </w:p>
        </w:tc>
        <w:tc>
          <w:tcPr>
            <w:tcW w:w="743"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400</w:t>
            </w:r>
          </w:p>
        </w:tc>
        <w:tc>
          <w:tcPr>
            <w:tcW w:w="851"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1840</w:t>
            </w:r>
          </w:p>
        </w:tc>
        <w:tc>
          <w:tcPr>
            <w:tcW w:w="1157"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1840</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44160</w:t>
            </w:r>
          </w:p>
        </w:tc>
        <w:tc>
          <w:tcPr>
            <w:tcW w:w="9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552000</w:t>
            </w:r>
          </w:p>
        </w:tc>
        <w:tc>
          <w:tcPr>
            <w:tcW w:w="82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2208</w:t>
            </w:r>
          </w:p>
        </w:tc>
        <w:tc>
          <w:tcPr>
            <w:tcW w:w="824"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441600</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商铺</w:t>
            </w:r>
          </w:p>
        </w:tc>
        <w:tc>
          <w:tcPr>
            <w:tcW w:w="763"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4141个</w:t>
            </w: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c>
          <w:tcPr>
            <w:tcW w:w="818"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c>
          <w:tcPr>
            <w:tcW w:w="864"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c>
          <w:tcPr>
            <w:tcW w:w="873"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c>
          <w:tcPr>
            <w:tcW w:w="760"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c>
          <w:tcPr>
            <w:tcW w:w="7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c>
          <w:tcPr>
            <w:tcW w:w="84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c>
          <w:tcPr>
            <w:tcW w:w="743" w:type="dxa"/>
            <w:gridSpan w:val="6"/>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c>
          <w:tcPr>
            <w:tcW w:w="851"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628</w:t>
            </w:r>
          </w:p>
        </w:tc>
        <w:tc>
          <w:tcPr>
            <w:tcW w:w="1157"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200</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c>
          <w:tcPr>
            <w:tcW w:w="952" w:type="dxa"/>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414100</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0"/>
                <w:szCs w:val="20"/>
              </w:rPr>
            </w:pPr>
          </w:p>
        </w:tc>
        <w:tc>
          <w:tcPr>
            <w:tcW w:w="824" w:type="dxa"/>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r>
      <w:tr>
        <w:tblPrEx>
          <w:tblCellMar>
            <w:top w:w="0" w:type="dxa"/>
            <w:left w:w="0" w:type="dxa"/>
            <w:bottom w:w="0" w:type="dxa"/>
            <w:right w:w="0" w:type="dxa"/>
          </w:tblCellMar>
        </w:tblPrEx>
        <w:trPr>
          <w:trHeight w:val="270" w:hRule="atLeast"/>
        </w:trPr>
        <w:tc>
          <w:tcPr>
            <w:tcW w:w="1126" w:type="dxa"/>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合计</w:t>
            </w:r>
          </w:p>
        </w:tc>
        <w:tc>
          <w:tcPr>
            <w:tcW w:w="763" w:type="dxa"/>
            <w:gridSpan w:val="2"/>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0"/>
                <w:szCs w:val="20"/>
              </w:rPr>
            </w:pPr>
          </w:p>
        </w:tc>
        <w:tc>
          <w:tcPr>
            <w:tcW w:w="897" w:type="dxa"/>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147</w:t>
            </w:r>
          </w:p>
        </w:tc>
        <w:tc>
          <w:tcPr>
            <w:tcW w:w="818" w:type="dxa"/>
            <w:gridSpan w:val="6"/>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55</w:t>
            </w:r>
          </w:p>
        </w:tc>
        <w:tc>
          <w:tcPr>
            <w:tcW w:w="864" w:type="dxa"/>
            <w:gridSpan w:val="3"/>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424</w:t>
            </w:r>
          </w:p>
        </w:tc>
        <w:tc>
          <w:tcPr>
            <w:tcW w:w="873" w:type="dxa"/>
            <w:gridSpan w:val="3"/>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147</w:t>
            </w:r>
          </w:p>
        </w:tc>
        <w:tc>
          <w:tcPr>
            <w:tcW w:w="760" w:type="dxa"/>
            <w:gridSpan w:val="4"/>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147</w:t>
            </w:r>
          </w:p>
        </w:tc>
        <w:tc>
          <w:tcPr>
            <w:tcW w:w="752" w:type="dxa"/>
            <w:gridSpan w:val="5"/>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256</w:t>
            </w:r>
          </w:p>
        </w:tc>
        <w:tc>
          <w:tcPr>
            <w:tcW w:w="842" w:type="dxa"/>
            <w:gridSpan w:val="5"/>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60302</w:t>
            </w:r>
          </w:p>
        </w:tc>
        <w:tc>
          <w:tcPr>
            <w:tcW w:w="743" w:type="dxa"/>
            <w:gridSpan w:val="6"/>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549</w:t>
            </w:r>
          </w:p>
        </w:tc>
        <w:tc>
          <w:tcPr>
            <w:tcW w:w="851" w:type="dxa"/>
            <w:gridSpan w:val="4"/>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2628</w:t>
            </w:r>
          </w:p>
        </w:tc>
        <w:tc>
          <w:tcPr>
            <w:tcW w:w="1157" w:type="dxa"/>
            <w:gridSpan w:val="5"/>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2828</w:t>
            </w:r>
          </w:p>
        </w:tc>
        <w:tc>
          <w:tcPr>
            <w:tcW w:w="1026" w:type="dxa"/>
            <w:gridSpan w:val="2"/>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1371408</w:t>
            </w:r>
          </w:p>
        </w:tc>
        <w:tc>
          <w:tcPr>
            <w:tcW w:w="952" w:type="dxa"/>
            <w:gridSpan w:val="5"/>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1119100</w:t>
            </w:r>
          </w:p>
        </w:tc>
        <w:tc>
          <w:tcPr>
            <w:tcW w:w="827" w:type="dxa"/>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334020</w:t>
            </w:r>
          </w:p>
        </w:tc>
        <w:tc>
          <w:tcPr>
            <w:tcW w:w="824" w:type="dxa"/>
            <w:gridSpan w:val="4"/>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508800</w:t>
            </w:r>
          </w:p>
        </w:tc>
      </w:tr>
      <w:tr>
        <w:tblPrEx>
          <w:tblCellMar>
            <w:top w:w="0" w:type="dxa"/>
            <w:left w:w="0" w:type="dxa"/>
            <w:bottom w:w="0" w:type="dxa"/>
            <w:right w:w="0" w:type="dxa"/>
          </w:tblCellMar>
        </w:tblPrEx>
        <w:trPr>
          <w:trHeight w:val="417" w:hRule="atLeast"/>
        </w:trPr>
        <w:tc>
          <w:tcPr>
            <w:tcW w:w="1126" w:type="dxa"/>
            <w:gridSpan w:val="7"/>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单价（元）</w:t>
            </w:r>
          </w:p>
        </w:tc>
        <w:tc>
          <w:tcPr>
            <w:tcW w:w="763" w:type="dxa"/>
            <w:gridSpan w:val="2"/>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c>
          <w:tcPr>
            <w:tcW w:w="897"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25685</w:t>
            </w:r>
          </w:p>
        </w:tc>
        <w:tc>
          <w:tcPr>
            <w:tcW w:w="818" w:type="dxa"/>
            <w:gridSpan w:val="6"/>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14344</w:t>
            </w:r>
          </w:p>
        </w:tc>
        <w:tc>
          <w:tcPr>
            <w:tcW w:w="864" w:type="dxa"/>
            <w:gridSpan w:val="3"/>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5155</w:t>
            </w:r>
          </w:p>
        </w:tc>
        <w:tc>
          <w:tcPr>
            <w:tcW w:w="873" w:type="dxa"/>
            <w:gridSpan w:val="3"/>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26000</w:t>
            </w:r>
          </w:p>
        </w:tc>
        <w:tc>
          <w:tcPr>
            <w:tcW w:w="760" w:type="dxa"/>
            <w:gridSpan w:val="4"/>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4000</w:t>
            </w:r>
          </w:p>
        </w:tc>
        <w:tc>
          <w:tcPr>
            <w:tcW w:w="752" w:type="dxa"/>
            <w:gridSpan w:val="5"/>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500</w:t>
            </w:r>
          </w:p>
        </w:tc>
        <w:tc>
          <w:tcPr>
            <w:tcW w:w="842" w:type="dxa"/>
            <w:gridSpan w:val="5"/>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w:t>
            </w:r>
          </w:p>
        </w:tc>
        <w:tc>
          <w:tcPr>
            <w:tcW w:w="743" w:type="dxa"/>
            <w:gridSpan w:val="6"/>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171</w:t>
            </w:r>
          </w:p>
        </w:tc>
        <w:tc>
          <w:tcPr>
            <w:tcW w:w="851" w:type="dxa"/>
            <w:gridSpan w:val="4"/>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220</w:t>
            </w:r>
          </w:p>
        </w:tc>
        <w:tc>
          <w:tcPr>
            <w:tcW w:w="1157" w:type="dxa"/>
            <w:gridSpan w:val="5"/>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220</w:t>
            </w:r>
          </w:p>
        </w:tc>
        <w:tc>
          <w:tcPr>
            <w:tcW w:w="1026" w:type="dxa"/>
            <w:gridSpan w:val="2"/>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0"/>
                <w:szCs w:val="20"/>
              </w:rPr>
            </w:pPr>
          </w:p>
        </w:tc>
        <w:tc>
          <w:tcPr>
            <w:tcW w:w="952" w:type="dxa"/>
            <w:gridSpan w:val="5"/>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c>
          <w:tcPr>
            <w:tcW w:w="827" w:type="dxa"/>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0"/>
                <w:szCs w:val="20"/>
              </w:rPr>
            </w:pPr>
          </w:p>
        </w:tc>
        <w:tc>
          <w:tcPr>
            <w:tcW w:w="824" w:type="dxa"/>
            <w:gridSpan w:val="4"/>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 xml:space="preserve"> </w:t>
            </w:r>
          </w:p>
        </w:tc>
      </w:tr>
      <w:tr>
        <w:tblPrEx>
          <w:tblCellMar>
            <w:top w:w="0" w:type="dxa"/>
            <w:left w:w="0" w:type="dxa"/>
            <w:bottom w:w="0" w:type="dxa"/>
            <w:right w:w="0" w:type="dxa"/>
          </w:tblCellMar>
        </w:tblPrEx>
        <w:trPr>
          <w:trHeight w:val="270" w:hRule="atLeast"/>
        </w:trPr>
        <w:tc>
          <w:tcPr>
            <w:tcW w:w="1126" w:type="dxa"/>
            <w:gridSpan w:val="7"/>
            <w:tcBorders>
              <w:top w:val="single" w:color="auto" w:sz="4" w:space="0"/>
              <w:left w:val="single" w:color="auto"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费用合计：</w:t>
            </w:r>
          </w:p>
        </w:tc>
        <w:tc>
          <w:tcPr>
            <w:tcW w:w="763" w:type="dxa"/>
            <w:gridSpan w:val="2"/>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jc w:val="center"/>
              <w:rPr>
                <w:rFonts w:ascii="宋体" w:hAnsi="宋体" w:eastAsia="宋体" w:cs="宋体"/>
                <w:sz w:val="20"/>
                <w:szCs w:val="20"/>
              </w:rPr>
            </w:pPr>
          </w:p>
        </w:tc>
        <w:tc>
          <w:tcPr>
            <w:tcW w:w="897"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3775695</w:t>
            </w:r>
          </w:p>
        </w:tc>
        <w:tc>
          <w:tcPr>
            <w:tcW w:w="818" w:type="dxa"/>
            <w:gridSpan w:val="6"/>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788920</w:t>
            </w:r>
          </w:p>
        </w:tc>
        <w:tc>
          <w:tcPr>
            <w:tcW w:w="864" w:type="dxa"/>
            <w:gridSpan w:val="3"/>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2185720</w:t>
            </w:r>
          </w:p>
        </w:tc>
        <w:tc>
          <w:tcPr>
            <w:tcW w:w="873" w:type="dxa"/>
            <w:gridSpan w:val="3"/>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3822000</w:t>
            </w:r>
          </w:p>
        </w:tc>
        <w:tc>
          <w:tcPr>
            <w:tcW w:w="760" w:type="dxa"/>
            <w:gridSpan w:val="4"/>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588000</w:t>
            </w:r>
          </w:p>
        </w:tc>
        <w:tc>
          <w:tcPr>
            <w:tcW w:w="752" w:type="dxa"/>
            <w:gridSpan w:val="5"/>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128000</w:t>
            </w:r>
          </w:p>
        </w:tc>
        <w:tc>
          <w:tcPr>
            <w:tcW w:w="842" w:type="dxa"/>
            <w:gridSpan w:val="5"/>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301510</w:t>
            </w:r>
          </w:p>
        </w:tc>
        <w:tc>
          <w:tcPr>
            <w:tcW w:w="743" w:type="dxa"/>
            <w:gridSpan w:val="6"/>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93879</w:t>
            </w:r>
          </w:p>
        </w:tc>
        <w:tc>
          <w:tcPr>
            <w:tcW w:w="851" w:type="dxa"/>
            <w:gridSpan w:val="4"/>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578160</w:t>
            </w:r>
          </w:p>
        </w:tc>
        <w:tc>
          <w:tcPr>
            <w:tcW w:w="1157" w:type="dxa"/>
            <w:gridSpan w:val="5"/>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622160</w:t>
            </w:r>
          </w:p>
        </w:tc>
        <w:tc>
          <w:tcPr>
            <w:tcW w:w="1026" w:type="dxa"/>
            <w:gridSpan w:val="2"/>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1371408</w:t>
            </w:r>
          </w:p>
        </w:tc>
        <w:tc>
          <w:tcPr>
            <w:tcW w:w="952" w:type="dxa"/>
            <w:gridSpan w:val="5"/>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1119100</w:t>
            </w:r>
          </w:p>
        </w:tc>
        <w:tc>
          <w:tcPr>
            <w:tcW w:w="827" w:type="dxa"/>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334020</w:t>
            </w:r>
          </w:p>
        </w:tc>
        <w:tc>
          <w:tcPr>
            <w:tcW w:w="824" w:type="dxa"/>
            <w:gridSpan w:val="4"/>
            <w:tcBorders>
              <w:top w:val="single" w:color="auto" w:sz="4" w:space="0"/>
              <w:left w:val="single" w:color="000000" w:sz="4" w:space="0"/>
              <w:bottom w:val="single" w:color="auto" w:sz="4" w:space="0"/>
              <w:right w:val="single" w:color="auto"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508800</w:t>
            </w:r>
          </w:p>
        </w:tc>
      </w:tr>
      <w:tr>
        <w:tblPrEx>
          <w:tblCellMar>
            <w:top w:w="0" w:type="dxa"/>
            <w:left w:w="0" w:type="dxa"/>
            <w:bottom w:w="0" w:type="dxa"/>
            <w:right w:w="0" w:type="dxa"/>
          </w:tblCellMar>
        </w:tblPrEx>
        <w:trPr>
          <w:gridAfter w:val="2"/>
          <w:wAfter w:w="186" w:type="dxa"/>
          <w:trHeight w:val="270" w:hRule="atLeast"/>
        </w:trPr>
        <w:tc>
          <w:tcPr>
            <w:tcW w:w="1126" w:type="dxa"/>
            <w:gridSpan w:val="7"/>
            <w:tcBorders>
              <w:top w:val="single" w:color="auto"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rPr>
                <w:rFonts w:ascii="宋体" w:hAnsi="宋体" w:eastAsia="宋体" w:cs="宋体"/>
                <w:sz w:val="20"/>
                <w:szCs w:val="20"/>
              </w:rPr>
            </w:pPr>
          </w:p>
        </w:tc>
        <w:tc>
          <w:tcPr>
            <w:tcW w:w="5727" w:type="dxa"/>
            <w:gridSpan w:val="24"/>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11288335</w:t>
            </w:r>
          </w:p>
        </w:tc>
        <w:tc>
          <w:tcPr>
            <w:tcW w:w="7036" w:type="dxa"/>
            <w:gridSpan w:val="30"/>
            <w:tcBorders>
              <w:top w:val="single" w:color="auto" w:sz="4" w:space="0"/>
              <w:left w:val="nil"/>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4929037</w:t>
            </w:r>
          </w:p>
        </w:tc>
      </w:tr>
      <w:tr>
        <w:tblPrEx>
          <w:tblCellMar>
            <w:top w:w="0" w:type="dxa"/>
            <w:left w:w="0" w:type="dxa"/>
            <w:bottom w:w="0" w:type="dxa"/>
            <w:right w:w="0" w:type="dxa"/>
          </w:tblCellMar>
        </w:tblPrEx>
        <w:trPr>
          <w:gridAfter w:val="2"/>
          <w:wAfter w:w="186" w:type="dxa"/>
          <w:trHeight w:val="270" w:hRule="atLeast"/>
        </w:trPr>
        <w:tc>
          <w:tcPr>
            <w:tcW w:w="1126" w:type="dxa"/>
            <w:gridSpan w:val="7"/>
            <w:tcBorders>
              <w:top w:val="single" w:color="000000" w:sz="4" w:space="0"/>
              <w:left w:val="single" w:color="000000" w:sz="4" w:space="0"/>
              <w:bottom w:val="nil"/>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费用总计：</w:t>
            </w:r>
          </w:p>
        </w:tc>
        <w:tc>
          <w:tcPr>
            <w:tcW w:w="12763" w:type="dxa"/>
            <w:gridSpan w:val="54"/>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pPr>
              <w:widowControl/>
              <w:jc w:val="center"/>
              <w:textAlignment w:val="center"/>
              <w:rPr>
                <w:rFonts w:ascii="宋体" w:hAnsi="宋体" w:eastAsia="宋体" w:cs="宋体"/>
                <w:sz w:val="20"/>
                <w:szCs w:val="20"/>
              </w:rPr>
            </w:pPr>
            <w:r>
              <w:rPr>
                <w:rFonts w:hint="eastAsia" w:ascii="宋体" w:hAnsi="宋体" w:eastAsia="宋体" w:cs="宋体"/>
                <w:kern w:val="0"/>
                <w:sz w:val="20"/>
                <w:szCs w:val="20"/>
              </w:rPr>
              <w:t>16217372</w:t>
            </w:r>
          </w:p>
        </w:tc>
      </w:tr>
      <w:tr>
        <w:tblPrEx>
          <w:tblCellMar>
            <w:top w:w="0" w:type="dxa"/>
            <w:left w:w="0" w:type="dxa"/>
            <w:bottom w:w="0" w:type="dxa"/>
            <w:right w:w="0" w:type="dxa"/>
          </w:tblCellMar>
        </w:tblPrEx>
        <w:trPr>
          <w:gridAfter w:val="2"/>
          <w:wAfter w:w="186" w:type="dxa"/>
          <w:trHeight w:val="417" w:hRule="atLeast"/>
        </w:trPr>
        <w:tc>
          <w:tcPr>
            <w:tcW w:w="13889" w:type="dxa"/>
            <w:gridSpan w:val="6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宋体" w:hAnsi="宋体" w:eastAsia="宋体" w:cs="宋体"/>
                <w:sz w:val="20"/>
                <w:szCs w:val="20"/>
              </w:rPr>
            </w:pPr>
            <w:r>
              <w:rPr>
                <w:rFonts w:hint="eastAsia" w:ascii="宋体" w:hAnsi="宋体" w:eastAsia="宋体" w:cs="宋体"/>
                <w:kern w:val="0"/>
                <w:sz w:val="20"/>
                <w:szCs w:val="20"/>
              </w:rPr>
              <w:t>备注：1.所有居民住户的每月积分奖励按2元/月，办公室按5元/间；2.宣传费用按3000元/年/1000户/年，企事业单位按1500元/单位/年。</w:t>
            </w:r>
          </w:p>
        </w:tc>
      </w:tr>
      <w:tr>
        <w:tblPrEx>
          <w:tblCellMar>
            <w:top w:w="0" w:type="dxa"/>
            <w:left w:w="0" w:type="dxa"/>
            <w:bottom w:w="0" w:type="dxa"/>
            <w:right w:w="0" w:type="dxa"/>
          </w:tblCellMar>
        </w:tblPrEx>
        <w:trPr>
          <w:gridBefore w:val="1"/>
          <w:gridAfter w:val="1"/>
          <w:wBefore w:w="7" w:type="dxa"/>
          <w:wAfter w:w="167" w:type="dxa"/>
          <w:trHeight w:val="966" w:hRule="atLeast"/>
        </w:trPr>
        <w:tc>
          <w:tcPr>
            <w:tcW w:w="13901" w:type="dxa"/>
            <w:gridSpan w:val="61"/>
            <w:tcBorders>
              <w:top w:val="nil"/>
              <w:left w:val="nil"/>
              <w:bottom w:val="nil"/>
              <w:right w:val="nil"/>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40"/>
                <w:szCs w:val="40"/>
              </w:rPr>
            </w:pPr>
            <w:r>
              <w:rPr>
                <w:rFonts w:hint="eastAsia" w:ascii="宋体" w:hAnsi="宋体" w:eastAsia="宋体" w:cs="宋体"/>
                <w:kern w:val="0"/>
                <w:sz w:val="40"/>
                <w:szCs w:val="40"/>
              </w:rPr>
              <w:t>嘉峪关市城市生活垃圾分类处理收费估算</w:t>
            </w:r>
          </w:p>
        </w:tc>
      </w:tr>
      <w:tr>
        <w:tblPrEx>
          <w:tblCellMar>
            <w:top w:w="0" w:type="dxa"/>
            <w:left w:w="0" w:type="dxa"/>
            <w:bottom w:w="0" w:type="dxa"/>
            <w:right w:w="0" w:type="dxa"/>
          </w:tblCellMar>
        </w:tblPrEx>
        <w:trPr>
          <w:gridBefore w:val="1"/>
          <w:gridAfter w:val="1"/>
          <w:wBefore w:w="7" w:type="dxa"/>
          <w:wAfter w:w="167"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序号</w:t>
            </w:r>
          </w:p>
        </w:tc>
        <w:tc>
          <w:tcPr>
            <w:tcW w:w="2855"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项目名称</w:t>
            </w:r>
          </w:p>
        </w:tc>
        <w:tc>
          <w:tcPr>
            <w:tcW w:w="2109"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垃圾处理户数</w:t>
            </w:r>
          </w:p>
        </w:tc>
        <w:tc>
          <w:tcPr>
            <w:tcW w:w="2414" w:type="dxa"/>
            <w:gridSpan w:val="15"/>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单位费用（元/年）</w:t>
            </w:r>
          </w:p>
        </w:tc>
        <w:tc>
          <w:tcPr>
            <w:tcW w:w="2184"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费用合计（万元）</w:t>
            </w:r>
          </w:p>
        </w:tc>
        <w:tc>
          <w:tcPr>
            <w:tcW w:w="3781"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单位指标</w:t>
            </w:r>
          </w:p>
        </w:tc>
      </w:tr>
      <w:tr>
        <w:tblPrEx>
          <w:tblCellMar>
            <w:top w:w="0" w:type="dxa"/>
            <w:left w:w="0" w:type="dxa"/>
            <w:bottom w:w="0" w:type="dxa"/>
            <w:right w:w="0" w:type="dxa"/>
          </w:tblCellMar>
        </w:tblPrEx>
        <w:trPr>
          <w:gridBefore w:val="1"/>
          <w:gridAfter w:val="1"/>
          <w:wBefore w:w="7" w:type="dxa"/>
          <w:wAfter w:w="167"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b/>
                <w:sz w:val="22"/>
              </w:rPr>
            </w:pPr>
            <w:r>
              <w:rPr>
                <w:rFonts w:hint="eastAsia" w:ascii="宋体" w:hAnsi="宋体" w:eastAsia="宋体" w:cs="宋体"/>
                <w:b/>
                <w:kern w:val="0"/>
                <w:sz w:val="22"/>
              </w:rPr>
              <w:t>一</w:t>
            </w:r>
          </w:p>
        </w:tc>
        <w:tc>
          <w:tcPr>
            <w:tcW w:w="2855"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b/>
                <w:sz w:val="22"/>
              </w:rPr>
            </w:pPr>
            <w:r>
              <w:rPr>
                <w:rFonts w:hint="eastAsia" w:ascii="宋体" w:hAnsi="宋体" w:eastAsia="宋体" w:cs="宋体"/>
                <w:b/>
                <w:kern w:val="0"/>
                <w:sz w:val="22"/>
              </w:rPr>
              <w:t>分类处理费用</w:t>
            </w:r>
          </w:p>
        </w:tc>
        <w:tc>
          <w:tcPr>
            <w:tcW w:w="2109"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jc w:val="center"/>
              <w:rPr>
                <w:rFonts w:ascii="宋体" w:hAnsi="宋体" w:eastAsia="宋体" w:cs="宋体"/>
                <w:b/>
                <w:sz w:val="22"/>
              </w:rPr>
            </w:pPr>
          </w:p>
        </w:tc>
        <w:tc>
          <w:tcPr>
            <w:tcW w:w="2414" w:type="dxa"/>
            <w:gridSpan w:val="15"/>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jc w:val="center"/>
              <w:rPr>
                <w:rFonts w:ascii="宋体" w:hAnsi="宋体" w:eastAsia="宋体" w:cs="宋体"/>
                <w:b/>
                <w:sz w:val="22"/>
              </w:rPr>
            </w:pPr>
          </w:p>
        </w:tc>
        <w:tc>
          <w:tcPr>
            <w:tcW w:w="2184"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b/>
                <w:sz w:val="22"/>
              </w:rPr>
            </w:pPr>
            <w:r>
              <w:rPr>
                <w:rFonts w:hint="eastAsia" w:ascii="宋体" w:hAnsi="宋体" w:eastAsia="宋体" w:cs="宋体"/>
                <w:b/>
                <w:kern w:val="0"/>
                <w:sz w:val="22"/>
              </w:rPr>
              <w:t xml:space="preserve">4267.44 </w:t>
            </w:r>
          </w:p>
        </w:tc>
        <w:tc>
          <w:tcPr>
            <w:tcW w:w="3781"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rPr>
                <w:rFonts w:ascii="宋体" w:hAnsi="宋体" w:eastAsia="宋体" w:cs="宋体"/>
                <w:b/>
                <w:sz w:val="22"/>
              </w:rPr>
            </w:pPr>
          </w:p>
        </w:tc>
      </w:tr>
      <w:tr>
        <w:tblPrEx>
          <w:tblCellMar>
            <w:top w:w="0" w:type="dxa"/>
            <w:left w:w="0" w:type="dxa"/>
            <w:bottom w:w="0" w:type="dxa"/>
            <w:right w:w="0" w:type="dxa"/>
          </w:tblCellMar>
        </w:tblPrEx>
        <w:trPr>
          <w:gridBefore w:val="1"/>
          <w:gridAfter w:val="1"/>
          <w:wBefore w:w="7" w:type="dxa"/>
          <w:wAfter w:w="167"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1</w:t>
            </w:r>
          </w:p>
        </w:tc>
        <w:tc>
          <w:tcPr>
            <w:tcW w:w="2855"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镜铁区</w:t>
            </w:r>
          </w:p>
        </w:tc>
        <w:tc>
          <w:tcPr>
            <w:tcW w:w="2109"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38711 </w:t>
            </w:r>
          </w:p>
        </w:tc>
        <w:tc>
          <w:tcPr>
            <w:tcW w:w="2414" w:type="dxa"/>
            <w:gridSpan w:val="15"/>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400</w:t>
            </w:r>
          </w:p>
        </w:tc>
        <w:tc>
          <w:tcPr>
            <w:tcW w:w="2184"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1548.46 </w:t>
            </w:r>
          </w:p>
        </w:tc>
        <w:tc>
          <w:tcPr>
            <w:tcW w:w="3781"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元/户</w:t>
            </w:r>
          </w:p>
        </w:tc>
      </w:tr>
      <w:tr>
        <w:tblPrEx>
          <w:tblCellMar>
            <w:top w:w="0" w:type="dxa"/>
            <w:left w:w="0" w:type="dxa"/>
            <w:bottom w:w="0" w:type="dxa"/>
            <w:right w:w="0" w:type="dxa"/>
          </w:tblCellMar>
        </w:tblPrEx>
        <w:trPr>
          <w:gridBefore w:val="1"/>
          <w:gridAfter w:val="1"/>
          <w:wBefore w:w="7" w:type="dxa"/>
          <w:wAfter w:w="167"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w:t>
            </w:r>
          </w:p>
        </w:tc>
        <w:tc>
          <w:tcPr>
            <w:tcW w:w="2855"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雄关区</w:t>
            </w:r>
          </w:p>
        </w:tc>
        <w:tc>
          <w:tcPr>
            <w:tcW w:w="2109"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32825 </w:t>
            </w:r>
          </w:p>
        </w:tc>
        <w:tc>
          <w:tcPr>
            <w:tcW w:w="2414" w:type="dxa"/>
            <w:gridSpan w:val="15"/>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400</w:t>
            </w:r>
          </w:p>
        </w:tc>
        <w:tc>
          <w:tcPr>
            <w:tcW w:w="2184"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1313.00 </w:t>
            </w:r>
          </w:p>
        </w:tc>
        <w:tc>
          <w:tcPr>
            <w:tcW w:w="3781"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元/户</w:t>
            </w:r>
          </w:p>
        </w:tc>
      </w:tr>
      <w:tr>
        <w:tblPrEx>
          <w:tblCellMar>
            <w:top w:w="0" w:type="dxa"/>
            <w:left w:w="0" w:type="dxa"/>
            <w:bottom w:w="0" w:type="dxa"/>
            <w:right w:w="0" w:type="dxa"/>
          </w:tblCellMar>
        </w:tblPrEx>
        <w:trPr>
          <w:gridBefore w:val="1"/>
          <w:gridAfter w:val="1"/>
          <w:wBefore w:w="7" w:type="dxa"/>
          <w:wAfter w:w="167"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3</w:t>
            </w:r>
          </w:p>
        </w:tc>
        <w:tc>
          <w:tcPr>
            <w:tcW w:w="2855"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长城区</w:t>
            </w:r>
          </w:p>
        </w:tc>
        <w:tc>
          <w:tcPr>
            <w:tcW w:w="2109"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24427 </w:t>
            </w:r>
          </w:p>
        </w:tc>
        <w:tc>
          <w:tcPr>
            <w:tcW w:w="2414" w:type="dxa"/>
            <w:gridSpan w:val="15"/>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400</w:t>
            </w:r>
          </w:p>
        </w:tc>
        <w:tc>
          <w:tcPr>
            <w:tcW w:w="2184"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977.09 </w:t>
            </w:r>
          </w:p>
        </w:tc>
        <w:tc>
          <w:tcPr>
            <w:tcW w:w="3781"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元/户</w:t>
            </w:r>
          </w:p>
        </w:tc>
      </w:tr>
      <w:tr>
        <w:tblPrEx>
          <w:tblCellMar>
            <w:top w:w="0" w:type="dxa"/>
            <w:left w:w="0" w:type="dxa"/>
            <w:bottom w:w="0" w:type="dxa"/>
            <w:right w:w="0" w:type="dxa"/>
          </w:tblCellMar>
        </w:tblPrEx>
        <w:trPr>
          <w:gridBefore w:val="1"/>
          <w:gridAfter w:val="1"/>
          <w:wBefore w:w="7" w:type="dxa"/>
          <w:wAfter w:w="167"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4</w:t>
            </w:r>
          </w:p>
        </w:tc>
        <w:tc>
          <w:tcPr>
            <w:tcW w:w="2855"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医院（大型）</w:t>
            </w:r>
          </w:p>
        </w:tc>
        <w:tc>
          <w:tcPr>
            <w:tcW w:w="2109"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1515</w:t>
            </w:r>
          </w:p>
        </w:tc>
        <w:tc>
          <w:tcPr>
            <w:tcW w:w="2414" w:type="dxa"/>
            <w:gridSpan w:val="15"/>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730</w:t>
            </w:r>
          </w:p>
        </w:tc>
        <w:tc>
          <w:tcPr>
            <w:tcW w:w="2184"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 xml:space="preserve">110.60 </w:t>
            </w:r>
          </w:p>
        </w:tc>
        <w:tc>
          <w:tcPr>
            <w:tcW w:w="3781"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2元/床位.天</w:t>
            </w:r>
          </w:p>
        </w:tc>
      </w:tr>
      <w:tr>
        <w:tblPrEx>
          <w:tblCellMar>
            <w:top w:w="0" w:type="dxa"/>
            <w:left w:w="0" w:type="dxa"/>
            <w:bottom w:w="0" w:type="dxa"/>
            <w:right w:w="0" w:type="dxa"/>
          </w:tblCellMar>
        </w:tblPrEx>
        <w:trPr>
          <w:gridBefore w:val="1"/>
          <w:gridAfter w:val="1"/>
          <w:wBefore w:w="7" w:type="dxa"/>
          <w:wAfter w:w="167"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5</w:t>
            </w:r>
          </w:p>
        </w:tc>
        <w:tc>
          <w:tcPr>
            <w:tcW w:w="2855"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医院（小型）</w:t>
            </w:r>
          </w:p>
        </w:tc>
        <w:tc>
          <w:tcPr>
            <w:tcW w:w="2109"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120</w:t>
            </w:r>
          </w:p>
        </w:tc>
        <w:tc>
          <w:tcPr>
            <w:tcW w:w="2414" w:type="dxa"/>
            <w:gridSpan w:val="15"/>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800</w:t>
            </w:r>
          </w:p>
        </w:tc>
        <w:tc>
          <w:tcPr>
            <w:tcW w:w="2184"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9.6</w:t>
            </w:r>
          </w:p>
        </w:tc>
        <w:tc>
          <w:tcPr>
            <w:tcW w:w="3781"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每个单位</w:t>
            </w:r>
          </w:p>
        </w:tc>
      </w:tr>
      <w:tr>
        <w:tblPrEx>
          <w:tblCellMar>
            <w:top w:w="0" w:type="dxa"/>
            <w:left w:w="0" w:type="dxa"/>
            <w:bottom w:w="0" w:type="dxa"/>
            <w:right w:w="0" w:type="dxa"/>
          </w:tblCellMar>
        </w:tblPrEx>
        <w:trPr>
          <w:gridBefore w:val="1"/>
          <w:gridAfter w:val="1"/>
          <w:wBefore w:w="7" w:type="dxa"/>
          <w:wAfter w:w="167"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6</w:t>
            </w:r>
          </w:p>
        </w:tc>
        <w:tc>
          <w:tcPr>
            <w:tcW w:w="2855"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学校</w:t>
            </w:r>
          </w:p>
        </w:tc>
        <w:tc>
          <w:tcPr>
            <w:tcW w:w="2109"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89</w:t>
            </w:r>
          </w:p>
        </w:tc>
        <w:tc>
          <w:tcPr>
            <w:tcW w:w="2414" w:type="dxa"/>
            <w:gridSpan w:val="15"/>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0</w:t>
            </w:r>
          </w:p>
        </w:tc>
        <w:tc>
          <w:tcPr>
            <w:tcW w:w="2184"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0</w:t>
            </w:r>
          </w:p>
        </w:tc>
        <w:tc>
          <w:tcPr>
            <w:tcW w:w="3781"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jc w:val="center"/>
              <w:rPr>
                <w:rFonts w:ascii="宋体" w:hAnsi="宋体" w:eastAsia="宋体" w:cs="宋体"/>
                <w:sz w:val="22"/>
              </w:rPr>
            </w:pPr>
          </w:p>
        </w:tc>
      </w:tr>
      <w:tr>
        <w:tblPrEx>
          <w:tblCellMar>
            <w:top w:w="0" w:type="dxa"/>
            <w:left w:w="0" w:type="dxa"/>
            <w:bottom w:w="0" w:type="dxa"/>
            <w:right w:w="0" w:type="dxa"/>
          </w:tblCellMar>
        </w:tblPrEx>
        <w:trPr>
          <w:gridBefore w:val="1"/>
          <w:gridAfter w:val="1"/>
          <w:wBefore w:w="7" w:type="dxa"/>
          <w:wAfter w:w="167" w:type="dxa"/>
          <w:trHeight w:val="379" w:hRule="atLeast"/>
        </w:trPr>
        <w:tc>
          <w:tcPr>
            <w:tcW w:w="558"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7</w:t>
            </w:r>
          </w:p>
        </w:tc>
        <w:tc>
          <w:tcPr>
            <w:tcW w:w="2855"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机关企事业单位</w:t>
            </w:r>
          </w:p>
        </w:tc>
        <w:tc>
          <w:tcPr>
            <w:tcW w:w="2109" w:type="dxa"/>
            <w:gridSpan w:val="9"/>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1029</w:t>
            </w:r>
          </w:p>
        </w:tc>
        <w:tc>
          <w:tcPr>
            <w:tcW w:w="2414" w:type="dxa"/>
            <w:gridSpan w:val="15"/>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3000</w:t>
            </w:r>
          </w:p>
        </w:tc>
        <w:tc>
          <w:tcPr>
            <w:tcW w:w="2184"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308.7</w:t>
            </w:r>
          </w:p>
        </w:tc>
        <w:tc>
          <w:tcPr>
            <w:tcW w:w="3781" w:type="dxa"/>
            <w:gridSpan w:val="12"/>
            <w:tcBorders>
              <w:top w:val="single" w:color="000000" w:sz="4" w:space="0"/>
              <w:left w:val="single" w:color="000000" w:sz="4" w:space="0"/>
              <w:bottom w:val="single" w:color="000000" w:sz="4" w:space="0"/>
              <w:right w:val="single" w:color="000000" w:sz="4" w:space="0"/>
            </w:tcBorders>
            <w:shd w:val="clear" w:color="auto" w:fill="auto"/>
            <w:noWrap/>
            <w:tcMar>
              <w:top w:w="8" w:type="dxa"/>
              <w:left w:w="8" w:type="dxa"/>
              <w:right w:w="8" w:type="dxa"/>
            </w:tcMar>
            <w:vAlign w:val="center"/>
          </w:tcPr>
          <w:p>
            <w:pPr>
              <w:widowControl/>
              <w:jc w:val="center"/>
              <w:textAlignment w:val="center"/>
              <w:rPr>
                <w:rFonts w:ascii="宋体" w:hAnsi="宋体" w:eastAsia="宋体" w:cs="宋体"/>
                <w:sz w:val="22"/>
              </w:rPr>
            </w:pPr>
            <w:r>
              <w:rPr>
                <w:rFonts w:hint="eastAsia" w:ascii="宋体" w:hAnsi="宋体" w:eastAsia="宋体" w:cs="宋体"/>
                <w:kern w:val="0"/>
                <w:sz w:val="22"/>
              </w:rPr>
              <w:t>3000元/年</w:t>
            </w:r>
          </w:p>
        </w:tc>
      </w:tr>
    </w:tbl>
    <w:p>
      <w:pPr>
        <w:pStyle w:val="4"/>
        <w:spacing w:before="0" w:after="0" w:line="360" w:lineRule="auto"/>
        <w:ind w:firstLine="632" w:firstLineChars="200"/>
        <w:rPr>
          <w:rFonts w:ascii="黑体" w:hAnsi="黑体"/>
          <w:b w:val="0"/>
          <w:bCs/>
          <w:szCs w:val="32"/>
        </w:rPr>
      </w:pPr>
      <w:bookmarkStart w:id="1220" w:name="_Toc16060_WPSOffice_Level2"/>
      <w:r>
        <w:rPr>
          <w:rFonts w:hint="eastAsia" w:ascii="黑体" w:hAnsi="黑体"/>
          <w:b w:val="0"/>
          <w:bCs/>
          <w:szCs w:val="32"/>
        </w:rPr>
        <w:t>12.5 资金筹措</w:t>
      </w:r>
      <w:bookmarkEnd w:id="1215"/>
      <w:bookmarkEnd w:id="1216"/>
      <w:bookmarkEnd w:id="1217"/>
      <w:bookmarkEnd w:id="1218"/>
      <w:bookmarkEnd w:id="1219"/>
      <w:bookmarkEnd w:id="122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项目资金来源：通过争取中央预算内资金1000万元，地方财政融资3000万元，其他多渠道筹措资金2687.18万元（这部分主要指废钢铁、纸张、塑料等可回收利用垃圾，积极吸收社会资本投入，参与垃圾分类建设）。</w:t>
      </w:r>
    </w:p>
    <w:p>
      <w:pPr>
        <w:pStyle w:val="21"/>
        <w:spacing w:before="0" w:line="578" w:lineRule="exact"/>
        <w:ind w:firstLine="632" w:firstLineChars="200"/>
      </w:pPr>
      <w:r>
        <w:rPr>
          <w:rFonts w:hint="eastAsia" w:ascii="仿宋_GB2312" w:hAnsi="仿宋_GB2312" w:eastAsia="仿宋_GB2312" w:cs="仿宋_GB2312"/>
          <w:sz w:val="32"/>
          <w:szCs w:val="32"/>
        </w:rPr>
        <w:t>该项目分三年实施，2019年完成固定资产投资1000万元，2020年完成固定资产投资3000万元，2021年完成固定资产投资2687.18万元。</w:t>
      </w:r>
    </w:p>
    <w:p>
      <w:pPr>
        <w:spacing w:line="578" w:lineRule="exact"/>
        <w:ind w:firstLine="412" w:firstLineChars="200"/>
        <w:sectPr>
          <w:headerReference r:id="rId10" w:type="default"/>
          <w:type w:val="continuous"/>
          <w:pgSz w:w="16838" w:h="11906" w:orient="landscape"/>
          <w:pgMar w:top="1587" w:right="2098" w:bottom="1474" w:left="1984" w:header="1638" w:footer="1417" w:gutter="0"/>
          <w:cols w:space="0" w:num="1"/>
          <w:docGrid w:type="linesAndChars" w:linePitch="579" w:charSpace="-882"/>
        </w:sectPr>
      </w:pPr>
    </w:p>
    <w:p>
      <w:pPr>
        <w:pStyle w:val="3"/>
        <w:spacing w:afterLines="100" w:line="578" w:lineRule="exact"/>
        <w:jc w:val="center"/>
        <w:rPr>
          <w:rFonts w:ascii="宋体" w:hAnsi="宋体" w:eastAsia="宋体" w:cs="宋体"/>
          <w:sz w:val="36"/>
          <w:szCs w:val="36"/>
        </w:rPr>
      </w:pPr>
      <w:bookmarkStart w:id="1221" w:name="_Toc22109_WPSOffice_Level1"/>
      <w:bookmarkStart w:id="1222" w:name="_Toc9744_WPSOffice_Level1"/>
      <w:bookmarkStart w:id="1223" w:name="_Toc20927_WPSOffice_Level1"/>
      <w:bookmarkStart w:id="1224" w:name="_Toc6188_WPSOffice_Level1"/>
      <w:bookmarkStart w:id="1225" w:name="_Toc23108_WPSOffice_Level1"/>
      <w:bookmarkStart w:id="1226" w:name="_Toc17202_WPSOffice_Level1"/>
      <w:bookmarkStart w:id="1227" w:name="_Toc25666_WPSOffice_Level1"/>
      <w:r>
        <w:rPr>
          <w:rFonts w:hint="eastAsia" w:ascii="宋体" w:hAnsi="宋体" w:eastAsia="宋体" w:cs="宋体"/>
          <w:sz w:val="36"/>
          <w:szCs w:val="36"/>
        </w:rPr>
        <w:t>第十三章  经济效益和社会效益分析</w:t>
      </w:r>
      <w:bookmarkEnd w:id="1221"/>
      <w:bookmarkEnd w:id="1222"/>
      <w:bookmarkEnd w:id="1223"/>
      <w:bookmarkEnd w:id="1224"/>
      <w:bookmarkEnd w:id="1225"/>
      <w:bookmarkEnd w:id="1226"/>
      <w:bookmarkEnd w:id="1227"/>
    </w:p>
    <w:p>
      <w:pPr>
        <w:pStyle w:val="4"/>
        <w:spacing w:before="0" w:after="0" w:line="360" w:lineRule="auto"/>
        <w:ind w:firstLine="632" w:firstLineChars="200"/>
        <w:rPr>
          <w:rFonts w:ascii="黑体" w:hAnsi="黑体"/>
          <w:b w:val="0"/>
          <w:bCs/>
          <w:szCs w:val="32"/>
        </w:rPr>
      </w:pPr>
      <w:bookmarkStart w:id="1228" w:name="_Toc1613_WPSOffice_Level2"/>
      <w:bookmarkStart w:id="1229" w:name="_Toc26772_WPSOffice_Level2"/>
      <w:bookmarkStart w:id="1230" w:name="_Toc30229_WPSOffice_Level2"/>
      <w:bookmarkStart w:id="1231" w:name="_Toc23905_WPSOffice_Level2"/>
      <w:bookmarkStart w:id="1232" w:name="_Toc3983_WPSOffice_Level2"/>
      <w:bookmarkStart w:id="1233" w:name="_Toc27693_WPSOffice_Level2"/>
      <w:r>
        <w:rPr>
          <w:rFonts w:hint="eastAsia" w:ascii="黑体" w:hAnsi="黑体"/>
          <w:b w:val="0"/>
          <w:bCs/>
          <w:szCs w:val="32"/>
        </w:rPr>
        <w:t>13.1项目的经济效益</w:t>
      </w:r>
      <w:bookmarkEnd w:id="1228"/>
      <w:bookmarkEnd w:id="1229"/>
      <w:bookmarkEnd w:id="1230"/>
      <w:bookmarkEnd w:id="1231"/>
      <w:bookmarkEnd w:id="1232"/>
      <w:bookmarkEnd w:id="1233"/>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长期以来，城市垃圾较多采用的是混合收集与堆积的方式，未能对垃圾当中可回收利用物质进行充分再次利用，对垃圾实施系统化的分类与收集，除了有助于垃圾处理成本的降低，还能简化垃圾处理工艺，提升了资源的回收利用率，不仅能够节省大量的资金，而且还能实现垃圾的综合利用推广对垃圾产生后的后端采用分拣要比混合收集填埋方案，更加适合我国国情，且更为有效、方便。实施垃圾分类除了能够使垃圾自身达到资源化、无害化及减量化的处理目标，还能有助于人们对自身行为习惯与可持续发展生活方式的培养。基于混合收集后再分类理念下，人们能够更好的尊重客观事物的一般性发展规律，有助于垃圾处理的实效化与长久性。显性的经济效益主要集中在以下几个方面：</w:t>
      </w:r>
    </w:p>
    <w:p>
      <w:pPr>
        <w:spacing w:line="578" w:lineRule="exact"/>
        <w:ind w:firstLine="632" w:firstLineChars="200"/>
        <w:rPr>
          <w:rFonts w:ascii="仿宋_GB2312" w:hAnsi="仿宋_GB2312" w:eastAsia="仿宋_GB2312" w:cs="仿宋_GB2312"/>
          <w:sz w:val="32"/>
          <w:szCs w:val="32"/>
        </w:rPr>
      </w:pPr>
      <w:bookmarkStart w:id="1234" w:name="_Toc20927_WPSOffice_Level3"/>
      <w:bookmarkStart w:id="1235" w:name="_Toc32051_WPSOffice_Level3"/>
      <w:bookmarkStart w:id="1236" w:name="_Toc7556_WPSOffice_Level3"/>
      <w:bookmarkStart w:id="1237" w:name="_Toc32291_WPSOffice_Level3"/>
      <w:bookmarkStart w:id="1238" w:name="_Toc10755_WPSOffice_Level3"/>
      <w:bookmarkStart w:id="1239" w:name="_Toc6247_WPSOffice_Level3"/>
      <w:bookmarkStart w:id="1240" w:name="_Toc15882_WPSOffice_Level3"/>
      <w:bookmarkStart w:id="1241" w:name="_Toc12368_WPSOffice_Level3"/>
      <w:bookmarkStart w:id="1242" w:name="_Toc23893_WPSOffice_Level3"/>
      <w:r>
        <w:rPr>
          <w:rFonts w:hint="eastAsia" w:ascii="仿宋_GB2312" w:hAnsi="仿宋_GB2312" w:eastAsia="仿宋_GB2312" w:cs="仿宋_GB2312"/>
          <w:sz w:val="32"/>
          <w:szCs w:val="32"/>
        </w:rPr>
        <w:t>（1）促进旅游业的发展</w:t>
      </w:r>
      <w:bookmarkEnd w:id="1234"/>
      <w:bookmarkEnd w:id="1235"/>
      <w:bookmarkEnd w:id="1236"/>
      <w:bookmarkEnd w:id="1237"/>
      <w:bookmarkEnd w:id="1238"/>
      <w:bookmarkEnd w:id="1239"/>
      <w:bookmarkEnd w:id="1240"/>
      <w:bookmarkEnd w:id="1241"/>
      <w:bookmarkEnd w:id="1242"/>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通过规划和设计，干净整洁的旅游地将吸引无数的人们来此开展各种休闲娱乐、观光赏景、科普教育等活动，通过策划各种旅游项目和旅游节进一步扩大影响力，带来周期性的旅游收入。具体体现在俱乐部休闲娱乐收入、餐饮收入、交通游览收入等方面。</w:t>
      </w:r>
    </w:p>
    <w:p>
      <w:pPr>
        <w:spacing w:line="578" w:lineRule="exact"/>
        <w:ind w:firstLine="632" w:firstLineChars="200"/>
        <w:rPr>
          <w:rFonts w:ascii="仿宋_GB2312" w:hAnsi="仿宋_GB2312" w:eastAsia="仿宋_GB2312" w:cs="仿宋_GB2312"/>
          <w:sz w:val="32"/>
          <w:szCs w:val="32"/>
        </w:rPr>
      </w:pPr>
      <w:bookmarkStart w:id="1243" w:name="_Toc23691_WPSOffice_Level3"/>
      <w:bookmarkStart w:id="1244" w:name="_Toc6108_WPSOffice_Level3"/>
      <w:bookmarkStart w:id="1245" w:name="_Toc28196_WPSOffice_Level3"/>
      <w:bookmarkStart w:id="1246" w:name="_Toc6067_WPSOffice_Level3"/>
      <w:bookmarkStart w:id="1247" w:name="_Toc31676_WPSOffice_Level3"/>
      <w:bookmarkStart w:id="1248" w:name="_Toc612_WPSOffice_Level3"/>
      <w:bookmarkStart w:id="1249" w:name="_Toc17035_WPSOffice_Level3"/>
      <w:bookmarkStart w:id="1250" w:name="_Toc869_WPSOffice_Level3"/>
      <w:bookmarkStart w:id="1251" w:name="_Toc17243_WPSOffice_Level3"/>
      <w:r>
        <w:rPr>
          <w:rFonts w:hint="eastAsia" w:ascii="仿宋_GB2312" w:hAnsi="仿宋_GB2312" w:eastAsia="仿宋_GB2312" w:cs="仿宋_GB2312"/>
          <w:sz w:val="32"/>
          <w:szCs w:val="32"/>
        </w:rPr>
        <w:t>（2）增加就业岗位</w:t>
      </w:r>
      <w:bookmarkEnd w:id="1243"/>
      <w:bookmarkEnd w:id="1244"/>
      <w:bookmarkEnd w:id="1245"/>
      <w:bookmarkEnd w:id="1246"/>
      <w:bookmarkEnd w:id="1247"/>
      <w:bookmarkEnd w:id="1248"/>
      <w:bookmarkEnd w:id="1249"/>
      <w:bookmarkEnd w:id="1250"/>
      <w:bookmarkEnd w:id="1251"/>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通过对城市生活垃圾分类处理的合理规划设计，将会产生大量的就业岗位，间接的促进GDP的增长，带来经济发展。</w:t>
      </w:r>
    </w:p>
    <w:p>
      <w:pPr>
        <w:spacing w:line="578" w:lineRule="exact"/>
        <w:ind w:firstLine="632" w:firstLineChars="200"/>
        <w:rPr>
          <w:rFonts w:ascii="仿宋_GB2312" w:hAnsi="仿宋_GB2312" w:eastAsia="仿宋_GB2312" w:cs="仿宋_GB2312"/>
          <w:sz w:val="32"/>
          <w:szCs w:val="32"/>
        </w:rPr>
      </w:pPr>
      <w:bookmarkStart w:id="1252" w:name="_Toc29003_WPSOffice_Level2"/>
      <w:bookmarkStart w:id="1253" w:name="_Toc13629_WPSOffice_Level3"/>
      <w:bookmarkStart w:id="1254" w:name="_Toc29093_WPSOffice_Level3"/>
      <w:bookmarkStart w:id="1255" w:name="_Toc24148_WPSOffice_Level3"/>
      <w:bookmarkStart w:id="1256" w:name="_Toc16164_WPSOffice_Level3"/>
      <w:bookmarkStart w:id="1257" w:name="_Toc15717_WPSOffice_Level3"/>
      <w:bookmarkStart w:id="1258" w:name="_Toc17729_WPSOffice_Level3"/>
      <w:bookmarkStart w:id="1259" w:name="_Toc30355_WPSOffice_Level3"/>
      <w:bookmarkStart w:id="1260" w:name="_Toc7412_WPSOffice_Level3"/>
      <w:bookmarkStart w:id="1261" w:name="_Toc25846_WPSOffice_Level3"/>
      <w:r>
        <w:rPr>
          <w:rFonts w:hint="eastAsia" w:ascii="仿宋_GB2312" w:hAnsi="仿宋_GB2312" w:eastAsia="仿宋_GB2312" w:cs="仿宋_GB2312"/>
          <w:sz w:val="32"/>
          <w:szCs w:val="32"/>
        </w:rPr>
        <w:t>（3）变废为宝</w:t>
      </w:r>
      <w:bookmarkEnd w:id="1252"/>
      <w:bookmarkEnd w:id="1253"/>
      <w:bookmarkEnd w:id="1254"/>
      <w:bookmarkEnd w:id="1255"/>
      <w:bookmarkEnd w:id="1256"/>
      <w:bookmarkEnd w:id="1257"/>
      <w:bookmarkEnd w:id="1258"/>
      <w:bookmarkEnd w:id="1259"/>
      <w:bookmarkEnd w:id="1260"/>
      <w:bookmarkEnd w:id="1261"/>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通过规划和建设，对垃圾实施系统化的分类与收集，除了有助于垃圾处理成本的降低，还能简化垃圾处理工艺，提升了资源的回收利用率，不仅能够节省大量的资金，而且还能实现垃圾的综合利用推广对垃圾产生后的后端采用分拣要比混合收集填埋方案，更加适合我国国情，且更为有效、方便。实施垃圾分类除了能够使垃圾自身达到资源化、无害化及减量化的处理目标，还将提供清洁能源，减少矿产资源的使用，带来经济发展。</w:t>
      </w:r>
    </w:p>
    <w:p>
      <w:pPr>
        <w:pStyle w:val="4"/>
        <w:spacing w:before="0" w:after="0" w:line="360" w:lineRule="auto"/>
        <w:ind w:firstLine="632" w:firstLineChars="200"/>
        <w:rPr>
          <w:rFonts w:ascii="黑体" w:hAnsi="黑体"/>
          <w:b w:val="0"/>
          <w:bCs/>
          <w:szCs w:val="32"/>
        </w:rPr>
      </w:pPr>
      <w:bookmarkStart w:id="1262" w:name="_Toc14687_WPSOffice_Level2"/>
      <w:bookmarkStart w:id="1263" w:name="_Toc24476_WPSOffice_Level2"/>
      <w:bookmarkStart w:id="1264" w:name="_Toc20160_WPSOffice_Level2"/>
      <w:bookmarkStart w:id="1265" w:name="_Toc3589_WPSOffice_Level2"/>
      <w:bookmarkStart w:id="1266" w:name="_Toc26272_WPSOffice_Level2"/>
      <w:bookmarkStart w:id="1267" w:name="_Toc1694_WPSOffice_Level2"/>
      <w:bookmarkStart w:id="1268" w:name="_Toc31676_WPSOffice_Level2"/>
      <w:r>
        <w:rPr>
          <w:rFonts w:hint="eastAsia" w:ascii="黑体" w:hAnsi="黑体"/>
          <w:b w:val="0"/>
          <w:bCs/>
          <w:szCs w:val="32"/>
        </w:rPr>
        <w:t>13.2 项目的社会效益</w:t>
      </w:r>
      <w:bookmarkEnd w:id="1262"/>
      <w:bookmarkEnd w:id="1263"/>
      <w:bookmarkEnd w:id="1264"/>
      <w:bookmarkEnd w:id="1265"/>
      <w:bookmarkEnd w:id="1266"/>
      <w:bookmarkEnd w:id="1267"/>
      <w:bookmarkEnd w:id="1268"/>
    </w:p>
    <w:p>
      <w:pPr>
        <w:spacing w:line="578" w:lineRule="exact"/>
        <w:ind w:firstLine="632" w:firstLineChars="200"/>
        <w:rPr>
          <w:rFonts w:ascii="仿宋_GB2312" w:hAnsi="仿宋_GB2312" w:eastAsia="仿宋_GB2312" w:cs="仿宋_GB2312"/>
          <w:sz w:val="32"/>
          <w:szCs w:val="32"/>
        </w:rPr>
      </w:pPr>
      <w:bookmarkStart w:id="1269" w:name="_Toc9656_WPSOffice_Level1"/>
      <w:bookmarkStart w:id="1270" w:name="_Toc7719_WPSOffice_Level1"/>
      <w:r>
        <w:rPr>
          <w:rFonts w:hint="eastAsia" w:ascii="仿宋_GB2312" w:hAnsi="仿宋_GB2312" w:eastAsia="仿宋_GB2312" w:cs="仿宋_GB2312"/>
          <w:sz w:val="32"/>
          <w:szCs w:val="32"/>
        </w:rPr>
        <w:t>（1）有助于改善垃圾品质，使末端处理得以更好的无害化，生活垃圾分类后，垃圾“各回各家”，进入不同的后端处理通道，保证了垃圾的纯净度，有助于垃圾填埋处理无害化处理。</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（2）有助于再生资源循环利用，节约原生资源</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垃圾分类后，厨余垃圾进行生化处理，资源垃圾进行再生资源通道，这样便于资源化利用，节省原生资源。</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（3）有助于减少垃圾清运量，从而节约垃圾清运费用和后端处理费用，延长填埋场使用年限。</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（4）有助于城市的干净整洁，减少清扫人员的负担，进而减少雇佣人力资源的浪费。</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（5）有助于增加就业岗位</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生活垃圾分类属劳动力密集型行业，据估算，每分类处理100吨生活垃圾，可增加就业机会100—200人，包括宣传、动员、保洁、环卫及分拣等兼职、专职人员。</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（6）有助于提升全民文明素质，进一步改善人居环境</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垃圾分类是一个社会文明和全民素质的体现。实现垃圾分类，有助于提升全民文明素质和环保素质，同时，也有助于人居环境的改善，使居民有更多的获得感和幸福感。</w:t>
      </w:r>
    </w:p>
    <w:p>
      <w:bookmarkStart w:id="1271" w:name="_Toc8882_WPSOffice_Level1"/>
      <w:bookmarkStart w:id="1272" w:name="_Toc17235_WPSOffice_Level1"/>
      <w:bookmarkStart w:id="1273" w:name="_Toc15332_WPSOffice_Level1"/>
      <w:bookmarkStart w:id="1274" w:name="_Toc1273_WPSOffice_Level1"/>
    </w:p>
    <w:p>
      <w:pPr>
        <w:pStyle w:val="21"/>
        <w:ind w:firstLine="529"/>
      </w:pPr>
    </w:p>
    <w:p/>
    <w:p>
      <w:pPr>
        <w:pStyle w:val="21"/>
        <w:ind w:firstLine="529"/>
      </w:pPr>
    </w:p>
    <w:p/>
    <w:p>
      <w:pPr>
        <w:pStyle w:val="21"/>
        <w:ind w:firstLine="529"/>
      </w:pPr>
    </w:p>
    <w:p/>
    <w:p>
      <w:pPr>
        <w:pStyle w:val="3"/>
        <w:spacing w:beforeLines="100" w:afterLines="100" w:line="578" w:lineRule="exact"/>
        <w:jc w:val="center"/>
        <w:rPr>
          <w:rFonts w:ascii="宋体" w:hAnsi="宋体" w:eastAsia="宋体" w:cs="宋体"/>
          <w:sz w:val="36"/>
          <w:szCs w:val="36"/>
        </w:rPr>
      </w:pPr>
      <w:bookmarkStart w:id="1275" w:name="_Toc27148_WPSOffice_Level1"/>
      <w:bookmarkStart w:id="1276" w:name="_Toc3480_WPSOffice_Level1"/>
      <w:r>
        <w:rPr>
          <w:rFonts w:hint="eastAsia" w:ascii="宋体" w:hAnsi="宋体" w:eastAsia="宋体" w:cs="宋体"/>
          <w:sz w:val="36"/>
          <w:szCs w:val="36"/>
        </w:rPr>
        <w:t>第十四章  可行性研究结论与建议</w:t>
      </w:r>
      <w:bookmarkEnd w:id="1269"/>
      <w:bookmarkEnd w:id="1270"/>
      <w:bookmarkEnd w:id="1271"/>
      <w:bookmarkEnd w:id="1272"/>
      <w:bookmarkEnd w:id="1273"/>
      <w:bookmarkEnd w:id="1274"/>
      <w:bookmarkEnd w:id="1275"/>
      <w:bookmarkEnd w:id="1276"/>
    </w:p>
    <w:p>
      <w:pPr>
        <w:pStyle w:val="4"/>
        <w:spacing w:before="0" w:after="0" w:line="360" w:lineRule="auto"/>
        <w:ind w:firstLine="632" w:firstLineChars="200"/>
        <w:rPr>
          <w:rFonts w:ascii="黑体" w:hAnsi="黑体"/>
          <w:b w:val="0"/>
          <w:bCs/>
          <w:szCs w:val="32"/>
        </w:rPr>
      </w:pPr>
      <w:bookmarkStart w:id="1277" w:name="_Toc4448_WPSOffice_Level2"/>
      <w:bookmarkStart w:id="1278" w:name="_Toc13037_WPSOffice_Level2"/>
      <w:bookmarkStart w:id="1279" w:name="_Toc26884_WPSOffice_Level2"/>
      <w:bookmarkStart w:id="1280" w:name="_Toc16025_WPSOffice_Level2"/>
      <w:bookmarkStart w:id="1281" w:name="_Toc10986_WPSOffice_Level2"/>
      <w:bookmarkStart w:id="1282" w:name="_Toc24579_WPSOffice_Level2"/>
      <w:bookmarkStart w:id="1283" w:name="_Toc17683_WPSOffice_Level2"/>
      <w:r>
        <w:rPr>
          <w:rFonts w:hint="eastAsia" w:ascii="黑体" w:hAnsi="黑体"/>
          <w:b w:val="0"/>
          <w:bCs/>
          <w:szCs w:val="32"/>
        </w:rPr>
        <w:t>14.1 结论</w:t>
      </w:r>
      <w:bookmarkEnd w:id="1277"/>
      <w:bookmarkEnd w:id="1278"/>
      <w:bookmarkEnd w:id="1279"/>
      <w:bookmarkEnd w:id="1280"/>
      <w:bookmarkEnd w:id="1281"/>
      <w:bookmarkEnd w:id="1282"/>
      <w:bookmarkEnd w:id="1283"/>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嘉峪关市城市生活垃圾分类项目的实施，将有效遏制环境恶化的趋势，并逐步改善嘉峪关市及周边地区的生态环境。</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一是通过对垃圾分类，进行无害化处理，最终达到零排放，</w:t>
      </w:r>
      <w:bookmarkStart w:id="1284" w:name="_Toc20404_WPSOffice_Level2"/>
      <w:r>
        <w:rPr>
          <w:rFonts w:hint="eastAsia" w:ascii="仿宋_GB2312" w:hAnsi="仿宋_GB2312" w:eastAsia="仿宋_GB2312" w:cs="仿宋_GB2312"/>
          <w:sz w:val="32"/>
          <w:szCs w:val="32"/>
        </w:rPr>
        <w:t xml:space="preserve">垃圾分类收集能减少环境污染，促进资源循环利用。将垃圾中的可回收物加以回收利用，可以大大减少环境污染，又可以促进资源回收利用。                                                                                    </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二是垃圾分类收集的经济和环境效益。垃圾的分类收集一方面实现了可回收物的最大限度的回收，垃圾的清运及处置费用大幅减少，同时避免了对混合垃圾分选产生的费用，使得经济利益最大化。另一方面，通过分类收集后，可回收物作为再生资源减缓了人们对其它资源和能源的掠夺和消耗，从而获得了良好的生态环境效益。</w:t>
      </w:r>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三是垃圾分类收集能简化垃圾处理技术，提高垃圾处理效率。垃圾分类收集后，可以将易降解的有机物质分选出来进行堆肥处理，提高堆肥的质量；可以减少用于填埋的垃圾中湿垃圾和有毒有害垃圾的含量，减少环境污染。</w:t>
      </w:r>
    </w:p>
    <w:p>
      <w:pPr>
        <w:pStyle w:val="21"/>
        <w:spacing w:before="0"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因此，嘉峪关城市生活垃圾分类试点项目的实施是积极可行的。</w:t>
      </w:r>
    </w:p>
    <w:p>
      <w:pPr>
        <w:pStyle w:val="4"/>
        <w:spacing w:before="0" w:after="0" w:line="360" w:lineRule="auto"/>
        <w:ind w:firstLine="632" w:firstLineChars="200"/>
        <w:rPr>
          <w:rFonts w:ascii="黑体" w:hAnsi="黑体"/>
          <w:b w:val="0"/>
          <w:bCs/>
          <w:szCs w:val="32"/>
        </w:rPr>
      </w:pPr>
      <w:bookmarkStart w:id="1285" w:name="_Toc30698_WPSOffice_Level2"/>
      <w:bookmarkStart w:id="1286" w:name="_Toc21773_WPSOffice_Level2"/>
      <w:bookmarkStart w:id="1287" w:name="_Toc25332_WPSOffice_Level2"/>
      <w:bookmarkStart w:id="1288" w:name="_Toc20610_WPSOffice_Level2"/>
      <w:bookmarkStart w:id="1289" w:name="_Toc8906_WPSOffice_Level2"/>
      <w:bookmarkStart w:id="1290" w:name="_Toc7628_WPSOffice_Level2"/>
      <w:r>
        <w:rPr>
          <w:rFonts w:hint="eastAsia" w:ascii="黑体" w:hAnsi="黑体"/>
          <w:b w:val="0"/>
          <w:bCs/>
          <w:szCs w:val="32"/>
        </w:rPr>
        <w:t>14.2 建议</w:t>
      </w:r>
      <w:bookmarkEnd w:id="1284"/>
      <w:bookmarkEnd w:id="1285"/>
      <w:bookmarkEnd w:id="1286"/>
      <w:bookmarkEnd w:id="1287"/>
      <w:bookmarkEnd w:id="1288"/>
      <w:bookmarkEnd w:id="1289"/>
      <w:bookmarkEnd w:id="1290"/>
    </w:p>
    <w:p>
      <w:pPr>
        <w:spacing w:line="578" w:lineRule="exact"/>
        <w:ind w:firstLine="632" w:firstLineChars="200"/>
        <w:rPr>
          <w:rFonts w:ascii="仿宋_GB2312" w:hAnsi="仿宋_GB2312" w:eastAsia="仿宋_GB2312" w:cs="仿宋_GB2312"/>
          <w:sz w:val="32"/>
          <w:szCs w:val="32"/>
        </w:rPr>
      </w:pPr>
      <w:bookmarkStart w:id="1291" w:name="_Toc14555_WPSOffice_Level3"/>
      <w:bookmarkStart w:id="1292" w:name="_Toc20090_WPSOffice_Level3"/>
      <w:bookmarkStart w:id="1293" w:name="_Toc8756_WPSOffice_Level3"/>
      <w:bookmarkStart w:id="1294" w:name="_Toc15941_WPSOffice_Level3"/>
      <w:bookmarkStart w:id="1295" w:name="_Toc5533_WPSOffice_Level3"/>
      <w:bookmarkStart w:id="1296" w:name="_Toc26376_WPSOffice_Level3"/>
      <w:bookmarkStart w:id="1297" w:name="_Toc15610_WPSOffice_Level3"/>
      <w:bookmarkStart w:id="1298" w:name="_Toc27396_WPSOffice_Level3"/>
      <w:r>
        <w:rPr>
          <w:rFonts w:hint="eastAsia" w:ascii="仿宋_GB2312" w:hAnsi="仿宋_GB2312" w:eastAsia="仿宋_GB2312" w:cs="仿宋_GB2312"/>
          <w:sz w:val="32"/>
          <w:szCs w:val="32"/>
        </w:rPr>
        <w:t>（1）加强领导，政府统筹</w:t>
      </w:r>
      <w:bookmarkEnd w:id="1291"/>
      <w:bookmarkEnd w:id="1292"/>
      <w:bookmarkEnd w:id="1293"/>
      <w:bookmarkEnd w:id="1294"/>
      <w:bookmarkEnd w:id="1295"/>
      <w:bookmarkEnd w:id="1296"/>
      <w:bookmarkEnd w:id="1297"/>
      <w:bookmarkEnd w:id="1298"/>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垃圾分类回收工作与环卫、市场监管、城管、环保等多个门职责相关，最终落实到居民、社区居委会，工作可谓点多量大面广。在环卫局成立专门的垃圾分类收集管理机构，负责全市垃圾分类收集的日常管理工作，形成推进垃圾分类收集工作的合力。同时，政府要实行垃圾分类考核奖惩制度，对街道、社区进行垃圾分类收集“双率”考核，即垃圾分类收集覆盖率和拉圾分类收集准确率统一制定考核标准，促进街道、社区加大垃圾分类工作的力度。</w:t>
      </w:r>
    </w:p>
    <w:p>
      <w:pPr>
        <w:spacing w:line="578" w:lineRule="exact"/>
        <w:ind w:firstLine="632" w:firstLineChars="200"/>
        <w:rPr>
          <w:rFonts w:ascii="仿宋_GB2312" w:hAnsi="仿宋_GB2312" w:eastAsia="仿宋_GB2312" w:cs="仿宋_GB2312"/>
          <w:sz w:val="32"/>
          <w:szCs w:val="32"/>
        </w:rPr>
      </w:pPr>
      <w:bookmarkStart w:id="1299" w:name="_Toc28788_WPSOffice_Level3"/>
      <w:bookmarkStart w:id="1300" w:name="_Toc5842_WPSOffice_Level3"/>
      <w:bookmarkStart w:id="1301" w:name="_Toc30853_WPSOffice_Level3"/>
      <w:bookmarkStart w:id="1302" w:name="_Toc31504_WPSOffice_Level3"/>
      <w:bookmarkStart w:id="1303" w:name="_Toc23952_WPSOffice_Level3"/>
      <w:bookmarkStart w:id="1304" w:name="_Toc32212_WPSOffice_Level3"/>
      <w:bookmarkStart w:id="1305" w:name="_Toc25385_WPSOffice_Level3"/>
      <w:bookmarkStart w:id="1306" w:name="_Toc10678_WPSOffice_Level3"/>
      <w:r>
        <w:rPr>
          <w:rFonts w:hint="eastAsia" w:ascii="仿宋_GB2312" w:hAnsi="仿宋_GB2312" w:eastAsia="仿宋_GB2312" w:cs="仿宋_GB2312"/>
          <w:sz w:val="32"/>
          <w:szCs w:val="32"/>
        </w:rPr>
        <w:t>（2）建立合适的垃圾分类标准、方法和方式</w:t>
      </w:r>
      <w:bookmarkEnd w:id="1299"/>
      <w:bookmarkEnd w:id="1300"/>
      <w:bookmarkEnd w:id="1301"/>
      <w:bookmarkEnd w:id="1302"/>
      <w:bookmarkEnd w:id="1303"/>
      <w:bookmarkEnd w:id="1304"/>
      <w:bookmarkEnd w:id="1305"/>
      <w:bookmarkEnd w:id="1306"/>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应结合嘉峪关市的实际情况，组织相关部门、专家进行调研，制定一科学的切合实际的垃圾分类标准和方法。应建立合适的垃圾分类方式，既不会让市民觉得过于繁产生抵触情，又要便于掌握和实际操作。</w:t>
      </w:r>
    </w:p>
    <w:p>
      <w:pPr>
        <w:spacing w:line="578" w:lineRule="exact"/>
        <w:ind w:firstLine="632" w:firstLineChars="200"/>
        <w:rPr>
          <w:rFonts w:ascii="仿宋_GB2312" w:hAnsi="仿宋_GB2312" w:eastAsia="仿宋_GB2312" w:cs="仿宋_GB2312"/>
          <w:sz w:val="32"/>
          <w:szCs w:val="32"/>
        </w:rPr>
      </w:pPr>
      <w:bookmarkStart w:id="1307" w:name="_Toc1505_WPSOffice_Level3"/>
      <w:bookmarkStart w:id="1308" w:name="_Toc2851_WPSOffice_Level3"/>
      <w:bookmarkStart w:id="1309" w:name="_Toc14826_WPSOffice_Level3"/>
      <w:bookmarkStart w:id="1310" w:name="_Toc5434_WPSOffice_Level3"/>
      <w:bookmarkStart w:id="1311" w:name="_Toc9695_WPSOffice_Level3"/>
      <w:bookmarkStart w:id="1312" w:name="_Toc28817_WPSOffice_Level3"/>
      <w:bookmarkStart w:id="1313" w:name="_Toc17551_WPSOffice_Level3"/>
      <w:bookmarkStart w:id="1314" w:name="_Toc27613_WPSOffice_Level3"/>
      <w:r>
        <w:rPr>
          <w:rFonts w:hint="eastAsia" w:ascii="仿宋_GB2312" w:hAnsi="仿宋_GB2312" w:eastAsia="仿宋_GB2312" w:cs="仿宋_GB2312"/>
          <w:sz w:val="32"/>
          <w:szCs w:val="32"/>
        </w:rPr>
        <w:t>（3）分区、分步推广落实垃圾分类</w:t>
      </w:r>
      <w:bookmarkEnd w:id="1307"/>
      <w:bookmarkEnd w:id="1308"/>
      <w:bookmarkEnd w:id="1309"/>
      <w:bookmarkEnd w:id="1310"/>
      <w:bookmarkEnd w:id="1311"/>
      <w:bookmarkEnd w:id="1312"/>
      <w:bookmarkEnd w:id="1313"/>
      <w:bookmarkEnd w:id="1314"/>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鉴于嘉峪关市的实际情况一步到位实行垃圾分类并不现实，故建议在现有基础上分阶段推进落实全市稳步铺开垃圾分类收集、处理工作，并不断巩固工作成效，提高垃圾分类收集、处理的整体效果，使垃圾分类收集、处理工作走上规范化、常态化的轨道。</w:t>
      </w:r>
    </w:p>
    <w:p>
      <w:pPr>
        <w:spacing w:line="578" w:lineRule="exact"/>
        <w:ind w:firstLine="632" w:firstLineChars="200"/>
        <w:rPr>
          <w:rFonts w:ascii="仿宋_GB2312" w:hAnsi="仿宋_GB2312" w:eastAsia="仿宋_GB2312" w:cs="仿宋_GB2312"/>
          <w:sz w:val="32"/>
          <w:szCs w:val="32"/>
        </w:rPr>
      </w:pPr>
      <w:bookmarkStart w:id="1315" w:name="_Toc9911_WPSOffice_Level3"/>
      <w:bookmarkStart w:id="1316" w:name="_Toc30002_WPSOffice_Level3"/>
      <w:bookmarkStart w:id="1317" w:name="_Toc8219_WPSOffice_Level3"/>
      <w:bookmarkStart w:id="1318" w:name="_Toc12170_WPSOffice_Level3"/>
      <w:bookmarkStart w:id="1319" w:name="_Toc5279_WPSOffice_Level3"/>
      <w:bookmarkStart w:id="1320" w:name="_Toc5361_WPSOffice_Level3"/>
      <w:bookmarkStart w:id="1321" w:name="_Toc30608_WPSOffice_Level3"/>
      <w:bookmarkStart w:id="1322" w:name="_Toc11118_WPSOffice_Level3"/>
      <w:r>
        <w:rPr>
          <w:rFonts w:hint="eastAsia" w:ascii="仿宋_GB2312" w:hAnsi="仿宋_GB2312" w:eastAsia="仿宋_GB2312" w:cs="仿宋_GB2312"/>
          <w:sz w:val="32"/>
          <w:szCs w:val="32"/>
        </w:rPr>
        <w:t>（4）扶持垃圾分类处理企业，加快产业化发展</w:t>
      </w:r>
      <w:bookmarkEnd w:id="1315"/>
      <w:bookmarkEnd w:id="1316"/>
      <w:bookmarkEnd w:id="1317"/>
      <w:bookmarkEnd w:id="1318"/>
      <w:bookmarkEnd w:id="1319"/>
      <w:bookmarkEnd w:id="1320"/>
      <w:bookmarkEnd w:id="1321"/>
      <w:bookmarkEnd w:id="1322"/>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及时制订垃圾分类相关企业的扶持改策，逐步培育形成嘉峪关市垃圾分类产业链，不断完善壮大嘉峪关市垃圾分类产业市场，使垃圾分类收集回收利用工作良性循环，持续发展。建议再生资源回收行业主管部门负责组织开展试点工作，鼓励和引导相关企业加强对可回收物的收集运输和处置，如造纸业、金属制造行业、塑料以及其他化学材料工业企业，利用垃圾生产建筑材料、回收稀有重金属等，从而完善社会回收网络体系，同时要加强服务和监管，通过减税等手段鼓励、扶持相关企业，防止企业在垃圾处理过程中对环境的二次污染。</w:t>
      </w:r>
    </w:p>
    <w:p>
      <w:pPr>
        <w:spacing w:line="578" w:lineRule="exact"/>
        <w:ind w:firstLine="632" w:firstLineChars="200"/>
        <w:rPr>
          <w:rFonts w:ascii="仿宋_GB2312" w:hAnsi="仿宋_GB2312" w:eastAsia="仿宋_GB2312" w:cs="仿宋_GB2312"/>
          <w:sz w:val="32"/>
          <w:szCs w:val="32"/>
        </w:rPr>
      </w:pPr>
      <w:bookmarkStart w:id="1323" w:name="_Toc24863_WPSOffice_Level3"/>
      <w:bookmarkStart w:id="1324" w:name="_Toc14564_WPSOffice_Level3"/>
      <w:bookmarkStart w:id="1325" w:name="_Toc6345_WPSOffice_Level3"/>
      <w:bookmarkStart w:id="1326" w:name="_Toc29595_WPSOffice_Level3"/>
      <w:bookmarkStart w:id="1327" w:name="_Toc26923_WPSOffice_Level3"/>
      <w:bookmarkStart w:id="1328" w:name="_Toc9874_WPSOffice_Level3"/>
      <w:bookmarkStart w:id="1329" w:name="_Toc2582_WPSOffice_Level3"/>
      <w:bookmarkStart w:id="1330" w:name="_Toc11605_WPSOffice_Level3"/>
      <w:r>
        <w:rPr>
          <w:rFonts w:hint="eastAsia" w:ascii="仿宋_GB2312" w:hAnsi="仿宋_GB2312" w:eastAsia="仿宋_GB2312" w:cs="仿宋_GB2312"/>
          <w:sz w:val="32"/>
          <w:szCs w:val="32"/>
        </w:rPr>
        <w:t>（5）建立制度化的长效机制，激励市民参与</w:t>
      </w:r>
      <w:bookmarkEnd w:id="1323"/>
      <w:bookmarkEnd w:id="1324"/>
      <w:bookmarkEnd w:id="1325"/>
      <w:bookmarkEnd w:id="1326"/>
      <w:bookmarkEnd w:id="1327"/>
      <w:bookmarkEnd w:id="1328"/>
      <w:bookmarkEnd w:id="1329"/>
      <w:bookmarkEnd w:id="1330"/>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结合嘉峪关市的实际情况，借鉴经验，及时出台和完善生活垃圾分类的相关制度，明确分类收集的基本原则、主要内容及奖惩措施等，建立利益导向机制和激励约束机制，建立完善的管理体制，确保垃圾分类处理的顺利开展。</w:t>
      </w:r>
    </w:p>
    <w:p>
      <w:pPr>
        <w:spacing w:line="578" w:lineRule="exact"/>
        <w:ind w:firstLine="632" w:firstLineChars="200"/>
        <w:rPr>
          <w:rFonts w:ascii="仿宋_GB2312" w:hAnsi="仿宋_GB2312" w:eastAsia="仿宋_GB2312" w:cs="仿宋_GB2312"/>
          <w:sz w:val="32"/>
          <w:szCs w:val="32"/>
        </w:rPr>
      </w:pPr>
      <w:bookmarkStart w:id="1331" w:name="_Toc31478_WPSOffice_Level3"/>
      <w:bookmarkStart w:id="1332" w:name="_Toc15036_WPSOffice_Level3"/>
      <w:bookmarkStart w:id="1333" w:name="_Toc27026_WPSOffice_Level3"/>
      <w:bookmarkStart w:id="1334" w:name="_Toc5973_WPSOffice_Level3"/>
      <w:bookmarkStart w:id="1335" w:name="_Toc3134_WPSOffice_Level3"/>
      <w:bookmarkStart w:id="1336" w:name="_Toc3321_WPSOffice_Level3"/>
      <w:bookmarkStart w:id="1337" w:name="_Toc24073_WPSOffice_Level3"/>
      <w:bookmarkStart w:id="1338" w:name="_Toc15233_WPSOffice_Level3"/>
      <w:r>
        <w:rPr>
          <w:rFonts w:hint="eastAsia" w:ascii="仿宋_GB2312" w:hAnsi="仿宋_GB2312" w:eastAsia="仿宋_GB2312" w:cs="仿宋_GB2312"/>
          <w:sz w:val="32"/>
          <w:szCs w:val="32"/>
        </w:rPr>
        <w:t>（6）加强末端管理，为分类提高科学效率</w:t>
      </w:r>
      <w:bookmarkEnd w:id="1331"/>
      <w:bookmarkEnd w:id="1332"/>
      <w:bookmarkEnd w:id="1333"/>
      <w:bookmarkEnd w:id="1334"/>
      <w:bookmarkEnd w:id="1335"/>
      <w:bookmarkEnd w:id="1336"/>
      <w:bookmarkEnd w:id="1337"/>
      <w:bookmarkEnd w:id="1338"/>
    </w:p>
    <w:p>
      <w:pPr>
        <w:spacing w:line="578" w:lineRule="exact"/>
        <w:ind w:firstLine="632"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要进一步完善已建项目设施改造，加大政策扶持力度，建立完善分类收运、分类处置设施要严格控制新建项目审批，着重做好新建项目选址和环评工作，未建立垃圾分类、转运设施的不得审批和运作，要进一步完善餐厨垃收运体系，加快建设餐厨垃圾处理厂，使分类垃圾得到科学有效的处置。确保垃圾分类收集、分类运输、分类处置质量。</w:t>
      </w:r>
    </w:p>
    <w:p>
      <w:pPr>
        <w:pStyle w:val="21"/>
        <w:spacing w:before="0" w:line="578" w:lineRule="exact"/>
        <w:ind w:firstLine="811"/>
        <w:rPr>
          <w:rFonts w:ascii="仿宋_GB2312" w:hAnsi="仿宋_GB2312" w:eastAsia="仿宋_GB2312" w:cs="仿宋_GB2312"/>
          <w:sz w:val="32"/>
          <w:szCs w:val="32"/>
        </w:rPr>
      </w:pPr>
    </w:p>
    <w:p>
      <w:pPr>
        <w:pStyle w:val="21"/>
        <w:spacing w:before="0" w:line="578" w:lineRule="exact"/>
        <w:ind w:firstLine="811"/>
        <w:rPr>
          <w:rFonts w:ascii="仿宋_GB2312" w:hAnsi="仿宋_GB2312" w:eastAsia="仿宋_GB2312" w:cs="仿宋_GB2312"/>
          <w:sz w:val="32"/>
          <w:szCs w:val="32"/>
        </w:rPr>
      </w:pPr>
      <w:r>
        <w:rPr>
          <w:rFonts w:hint="eastAsia" w:ascii="仿宋_GB2312" w:hAnsi="仿宋_GB2312" w:eastAsia="仿宋_GB2312" w:cs="仿宋_GB2312"/>
          <w:sz w:val="32"/>
          <w:szCs w:val="32"/>
        </w:rPr>
        <w:t>附件：</w:t>
      </w:r>
    </w:p>
    <w:p>
      <w:pPr>
        <w:rPr>
          <w:rFonts w:ascii="仿宋_GB2312" w:hAnsi="仿宋_GB2312" w:eastAsia="仿宋_GB2312" w:cs="仿宋_GB2312"/>
          <w:szCs w:val="21"/>
        </w:rPr>
      </w:pPr>
      <w:r>
        <w:rPr>
          <w:rFonts w:hint="eastAsia" w:ascii="仿宋_GB2312" w:hAnsi="仿宋_GB2312" w:eastAsia="仿宋_GB2312" w:cs="仿宋_GB2312"/>
          <w:szCs w:val="21"/>
        </w:rPr>
        <w:drawing>
          <wp:inline distT="0" distB="0" distL="114300" distR="114300">
            <wp:extent cx="5132705" cy="2939415"/>
            <wp:effectExtent l="0" t="0" r="10795" b="13335"/>
            <wp:docPr id="36" name="图片 36" descr="选址区域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选址区域图"/>
                    <pic:cNvPicPr>
                      <a:picLocks noChangeAspect="1"/>
                    </pic:cNvPicPr>
                  </pic:nvPicPr>
                  <pic:blipFill>
                    <a:blip r:embed="rId94" cstate="print"/>
                    <a:stretch>
                      <a:fillRect/>
                    </a:stretch>
                  </pic:blipFill>
                  <pic:spPr>
                    <a:xfrm>
                      <a:off x="0" y="0"/>
                      <a:ext cx="5132705" cy="2939415"/>
                    </a:xfrm>
                    <a:prstGeom prst="rect">
                      <a:avLst/>
                    </a:prstGeom>
                  </pic:spPr>
                </pic:pic>
              </a:graphicData>
            </a:graphic>
          </wp:inline>
        </w:drawing>
      </w:r>
    </w:p>
    <w:p>
      <w:pPr>
        <w:pStyle w:val="21"/>
        <w:spacing w:before="0" w:line="578" w:lineRule="exact"/>
        <w:ind w:firstLine="0" w:firstLineChars="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分拣中心区域位置图</w:t>
      </w:r>
    </w:p>
    <w:p>
      <w:pPr>
        <w:rPr>
          <w:szCs w:val="21"/>
        </w:rPr>
      </w:pPr>
      <w:r>
        <w:rPr>
          <w:rFonts w:hint="eastAsia"/>
          <w:szCs w:val="21"/>
        </w:rPr>
        <w:drawing>
          <wp:inline distT="0" distB="0" distL="114300" distR="114300">
            <wp:extent cx="5110480" cy="3577590"/>
            <wp:effectExtent l="0" t="0" r="13970" b="3810"/>
            <wp:docPr id="44" name="图片 44" descr="分拣中心选址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分拣中心选址示意图"/>
                    <pic:cNvPicPr>
                      <a:picLocks noChangeAspect="1"/>
                    </pic:cNvPicPr>
                  </pic:nvPicPr>
                  <pic:blipFill>
                    <a:blip r:embed="rId95" cstate="print"/>
                    <a:stretch>
                      <a:fillRect/>
                    </a:stretch>
                  </pic:blipFill>
                  <pic:spPr>
                    <a:xfrm>
                      <a:off x="0" y="0"/>
                      <a:ext cx="5110480" cy="3577590"/>
                    </a:xfrm>
                    <a:prstGeom prst="rect">
                      <a:avLst/>
                    </a:prstGeom>
                  </pic:spPr>
                </pic:pic>
              </a:graphicData>
            </a:graphic>
          </wp:inline>
        </w:drawing>
      </w:r>
    </w:p>
    <w:p>
      <w:pPr>
        <w:pStyle w:val="21"/>
        <w:spacing w:before="0" w:line="578" w:lineRule="exact"/>
        <w:ind w:firstLine="0" w:firstLineChars="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分拣中心选址示意图</w:t>
      </w:r>
    </w:p>
    <w:p>
      <w:r>
        <w:drawing>
          <wp:inline distT="0" distB="0" distL="114300" distR="114300">
            <wp:extent cx="5601970" cy="3956685"/>
            <wp:effectExtent l="0" t="0" r="17780" b="5715"/>
            <wp:docPr id="46" name="图片 46" descr="建筑方案平面20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建筑方案平面2019.7.3"/>
                    <pic:cNvPicPr>
                      <a:picLocks noChangeAspect="1"/>
                    </pic:cNvPicPr>
                  </pic:nvPicPr>
                  <pic:blipFill>
                    <a:blip r:embed="rId96" cstate="print"/>
                    <a:stretch>
                      <a:fillRect/>
                    </a:stretch>
                  </pic:blipFill>
                  <pic:spPr>
                    <a:xfrm>
                      <a:off x="0" y="0"/>
                      <a:ext cx="5601970" cy="3956685"/>
                    </a:xfrm>
                    <a:prstGeom prst="rect">
                      <a:avLst/>
                    </a:prstGeom>
                  </pic:spPr>
                </pic:pic>
              </a:graphicData>
            </a:graphic>
          </wp:inline>
        </w:drawing>
      </w:r>
    </w:p>
    <w:p>
      <w:pPr>
        <w:pStyle w:val="21"/>
        <w:spacing w:before="0" w:line="578" w:lineRule="exact"/>
        <w:ind w:firstLine="0" w:firstLineChars="0"/>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分拣中心总平面布置图</w:t>
      </w:r>
    </w:p>
    <w:p>
      <w:pPr>
        <w:rPr>
          <w:szCs w:val="21"/>
        </w:rPr>
      </w:pPr>
    </w:p>
    <w:p>
      <w:pPr>
        <w:rPr>
          <w:rFonts w:ascii="仿宋_GB2312" w:hAnsi="仿宋_GB2312" w:eastAsia="仿宋_GB2312" w:cs="仿宋_GB2312"/>
          <w:sz w:val="32"/>
          <w:szCs w:val="32"/>
        </w:rPr>
      </w:pPr>
    </w:p>
    <w:p>
      <w:pPr>
        <w:pStyle w:val="2"/>
        <w:numPr>
          <w:ilvl w:val="3"/>
          <w:numId w:val="0"/>
        </w:numPr>
        <w:tabs>
          <w:tab w:val="clear" w:pos="864"/>
        </w:tabs>
      </w:pPr>
    </w:p>
    <w:p>
      <w:pPr>
        <w:rPr>
          <w:rFonts w:ascii="仿宋_GB2312" w:hAnsi="仿宋_GB2312" w:eastAsia="仿宋_GB2312" w:cs="仿宋_GB2312"/>
          <w:sz w:val="32"/>
          <w:szCs w:val="32"/>
        </w:rPr>
      </w:pPr>
    </w:p>
    <w:p>
      <w:pPr>
        <w:pStyle w:val="2"/>
        <w:numPr>
          <w:ilvl w:val="3"/>
          <w:numId w:val="0"/>
        </w:numPr>
        <w:tabs>
          <w:tab w:val="clear" w:pos="864"/>
        </w:tabs>
      </w:pPr>
    </w:p>
    <w:p>
      <w:pPr>
        <w:rPr>
          <w:rFonts w:ascii="仿宋_GB2312" w:hAnsi="仿宋_GB2312" w:eastAsia="仿宋_GB2312" w:cs="仿宋_GB2312"/>
          <w:sz w:val="32"/>
          <w:szCs w:val="32"/>
        </w:rPr>
      </w:pPr>
    </w:p>
    <w:p>
      <w:pPr>
        <w:pStyle w:val="2"/>
        <w:numPr>
          <w:ilvl w:val="3"/>
          <w:numId w:val="0"/>
        </w:numPr>
        <w:tabs>
          <w:tab w:val="clear" w:pos="864"/>
        </w:tabs>
      </w:pPr>
    </w:p>
    <w:p/>
    <w:p>
      <w:pP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397500" cy="5386705"/>
            <wp:effectExtent l="0" t="0" r="12700" b="444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97" cstate="print"/>
                    <a:srcRect t="19086" b="3817"/>
                    <a:stretch>
                      <a:fillRect/>
                    </a:stretch>
                  </pic:blipFill>
                  <pic:spPr>
                    <a:xfrm>
                      <a:off x="0" y="0"/>
                      <a:ext cx="5397500" cy="5386705"/>
                    </a:xfrm>
                    <a:prstGeom prst="rect">
                      <a:avLst/>
                    </a:prstGeom>
                    <a:noFill/>
                    <a:ln>
                      <a:noFill/>
                    </a:ln>
                  </pic:spPr>
                </pic:pic>
              </a:graphicData>
            </a:graphic>
          </wp:inline>
        </w:drawing>
      </w:r>
    </w:p>
    <w:p>
      <w:pPr>
        <w:pStyle w:val="21"/>
        <w:ind w:firstLine="529"/>
        <w:rPr>
          <w:szCs w:val="21"/>
        </w:rPr>
      </w:pPr>
    </w:p>
    <w:p>
      <w:pPr>
        <w:rPr>
          <w:szCs w:val="21"/>
        </w:rPr>
      </w:pPr>
    </w:p>
    <w:p>
      <w:pPr>
        <w:rPr>
          <w:szCs w:val="21"/>
        </w:rPr>
      </w:pPr>
    </w:p>
    <w:p>
      <w:pPr>
        <w:rPr>
          <w:szCs w:val="21"/>
        </w:rPr>
      </w:pPr>
      <w:r>
        <w:rPr>
          <w:szCs w:val="21"/>
        </w:rPr>
        <w:drawing>
          <wp:inline distT="0" distB="0" distL="114300" distR="114300">
            <wp:extent cx="5125720" cy="6635115"/>
            <wp:effectExtent l="0" t="0" r="8255" b="381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98" cstate="print"/>
                    <a:stretch>
                      <a:fillRect/>
                    </a:stretch>
                  </pic:blipFill>
                  <pic:spPr>
                    <a:xfrm>
                      <a:off x="0" y="0"/>
                      <a:ext cx="5125720" cy="6635115"/>
                    </a:xfrm>
                    <a:prstGeom prst="rect">
                      <a:avLst/>
                    </a:prstGeom>
                    <a:noFill/>
                    <a:ln>
                      <a:noFill/>
                    </a:ln>
                  </pic:spPr>
                </pic:pic>
              </a:graphicData>
            </a:graphic>
          </wp:inline>
        </w:drawing>
      </w:r>
    </w:p>
    <w:p>
      <w:pPr>
        <w:pStyle w:val="21"/>
        <w:ind w:firstLine="529"/>
        <w:rPr>
          <w:szCs w:val="21"/>
        </w:rPr>
      </w:pPr>
    </w:p>
    <w:p>
      <w:pPr>
        <w:pStyle w:val="21"/>
        <w:spacing w:before="0" w:line="578" w:lineRule="exact"/>
        <w:ind w:firstLine="0" w:firstLineChars="0"/>
        <w:rPr>
          <w:rFonts w:ascii="仿宋_GB2312" w:hAnsi="仿宋_GB2312" w:eastAsia="仿宋_GB2312" w:cs="仿宋_GB2312"/>
          <w:sz w:val="32"/>
          <w:szCs w:val="32"/>
        </w:rPr>
      </w:pPr>
    </w:p>
    <w:sectPr>
      <w:headerReference r:id="rId11" w:type="default"/>
      <w:type w:val="continuous"/>
      <w:pgSz w:w="11906" w:h="16838"/>
      <w:pgMar w:top="2098" w:right="1474" w:bottom="1984" w:left="1587" w:header="1638" w:footer="1417" w:gutter="0"/>
      <w:cols w:space="0" w:num="1"/>
      <w:docGrid w:type="linesAndChars" w:linePitch="579" w:charSpace="-88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0000000000000000000"/>
    <w:charset w:val="86"/>
    <w:family w:val="auto"/>
    <w:pitch w:val="default"/>
    <w:sig w:usb0="00000000" w:usb1="00000000" w:usb2="00000016" w:usb3="00000000" w:csb0="0004000F"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font-weight : 400">
    <w:altName w:val="Segoe Print"/>
    <w:panose1 w:val="00000000000000000000"/>
    <w:charset w:val="00"/>
    <w:family w:val="auto"/>
    <w:pitch w:val="default"/>
    <w:sig w:usb0="00000000" w:usb1="00000000" w:usb2="00000000" w:usb3="00000000" w:csb0="00000000" w:csb1="00000000"/>
  </w:font>
  <w:font w:name="等线 Light">
    <w:altName w:val="宋体"/>
    <w:panose1 w:val="00000000000000000000"/>
    <w:charset w:val="86"/>
    <w:family w:val="roman"/>
    <w:pitch w:val="default"/>
    <w:sig w:usb0="00000000" w:usb1="00000000" w:usb2="00000016" w:usb3="00000000" w:csb0="0004000F" w:csb1="00000000"/>
  </w:font>
  <w:font w:name="仿宋_GB2312">
    <w:altName w:val="仿宋"/>
    <w:panose1 w:val="02010609030101010101"/>
    <w:charset w:val="86"/>
    <w:family w:val="modern"/>
    <w:pitch w:val="default"/>
    <w:sig w:usb0="00000000" w:usb1="00000000" w:usb2="00000010" w:usb3="00000000" w:csb0="00040000" w:csb1="00000000"/>
  </w:font>
  <w:font w:name="微软雅黑 Light">
    <w:altName w:val="微软雅黑"/>
    <w:panose1 w:val="00000000000000000000"/>
    <w:charset w:val="86"/>
    <w:family w:val="auto"/>
    <w:pitch w:val="default"/>
    <w:sig w:usb0="00000000" w:usb1="00000000" w:usb2="00000016" w:usb3="00000000" w:csb0="0004001F" w:csb1="00000000"/>
  </w:font>
  <w:font w:name="微软雅黑">
    <w:panose1 w:val="020B0503020204020204"/>
    <w:charset w:val="86"/>
    <w:family w:val="swiss"/>
    <w:pitch w:val="default"/>
    <w:sig w:usb0="80000287" w:usb1="280F3C52" w:usb2="00000016" w:usb3="00000000" w:csb0="0004001F" w:csb1="00000000"/>
  </w:font>
  <w:font w:name="等线">
    <w:altName w:val="微软雅黑"/>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jc w:val="center"/>
      <w:rPr>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jc w:val="center"/>
      <w:rPr>
        <w:sz w:val="21"/>
        <w:szCs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jc w:val="center"/>
      <w:rPr>
        <w:sz w:val="21"/>
        <w:szCs w:val="21"/>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jc w:val="center"/>
      <w:rPr>
        <w:sz w:val="21"/>
        <w:szCs w:val="21"/>
      </w:rPr>
    </w:pPr>
    <w:r>
      <w:rPr>
        <w:sz w:val="21"/>
      </w:rPr>
      <w:pict>
        <v:shape id="_x0000_s2053" o:spid="_x0000_s2053" o:spt="202" type="#_x0000_t202" style="position:absolute;left:0pt;margin-top:0pt;height:144pt;width:144pt;mso-position-horizontal:center;mso-position-horizontal-relative:margin;mso-wrap-style:none;z-index:2532956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0lY7tAAAAAFAQAADwAAAAAA&#10;AAABACAAAAAiAAAAZHJzL2Rvd25yZXYueG1sUEsBAhQAFAAAAAgAh07iQDkbtzMbAgAAIwQAAA4A&#10;AAAAAAAAAQAgAAAAHwEAAGRycy9lMm9Eb2MueG1sUEsFBgAAAAAGAAYAWQEAAKwFAAAAAA==&#10;">
          <v:path/>
          <v:fill on="f" focussize="0,0"/>
          <v:stroke on="f" weight="0.5pt" joinstyle="miter"/>
          <v:imagedata o:title=""/>
          <o:lock v:ext="edit"/>
          <v:textbox inset="0mm,0mm,0mm,0mm" style="mso-fit-shape-to-text:t;">
            <w:txbxContent>
              <w:p>
                <w:pPr>
                  <w:pStyle w:val="11"/>
                </w:pPr>
                <w:r>
                  <w:rPr>
                    <w:rFonts w:hint="eastAsia"/>
                  </w:rPr>
                  <w:t xml:space="preserve">第 </w:t>
                </w:r>
                <w:r>
                  <w:fldChar w:fldCharType="begin"/>
                </w:r>
                <w:r>
                  <w:instrText xml:space="preserve"> PAGE  \* MERGEFORMAT </w:instrText>
                </w:r>
                <w:r>
                  <w:fldChar w:fldCharType="separate"/>
                </w:r>
                <w:r>
                  <w:t>27</w:t>
                </w:r>
                <w:r>
                  <w:fldChar w:fldCharType="end"/>
                </w:r>
                <w:r>
                  <w:rPr>
                    <w:rFonts w:hint="eastAsia"/>
                  </w:rPr>
                  <w:t xml:space="preserve"> 页</w:t>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pict>
        <v:shape id="_x0000_s2051" o:spid="_x0000_s2051"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0lY7tAAAAAFAQAADwAAAAAA&#10;AAABACAAAAAiAAAAZHJzL2Rvd25yZXYueG1sUEsBAhQAFAAAAAgAh07iQCOFi7YbAgAAIQQAAA4A&#10;AAAAAAAAAQAgAAAAHwEAAGRycy9lMm9Eb2MueG1sUEsFBgAAAAAGAAYAWQEAAKwFAAAAAA==&#10;">
          <v:path/>
          <v:fill on="f" focussize="0,0"/>
          <v:stroke on="f" weight="0.5pt" joinstyle="miter"/>
          <v:imagedata o:title=""/>
          <o:lock v:ext="edit"/>
          <v:textbox inset="0mm,0mm,0mm,0mm" style="mso-fit-shape-to-text:t;">
            <w:txbxContent>
              <w:p>
                <w:pPr>
                  <w:pStyle w:val="11"/>
                </w:pPr>
                <w:r>
                  <w:rPr>
                    <w:rFonts w:hint="eastAsia"/>
                  </w:rPr>
                  <w:t xml:space="preserve">第 </w:t>
                </w:r>
                <w:r>
                  <w:fldChar w:fldCharType="begin"/>
                </w:r>
                <w:r>
                  <w:instrText xml:space="preserve"> PAGE  \* MERGEFORMAT </w:instrText>
                </w:r>
                <w:r>
                  <w:fldChar w:fldCharType="separate"/>
                </w:r>
                <w:r>
                  <w:t>139</w:t>
                </w:r>
                <w:r>
                  <w:fldChar w:fldCharType="end"/>
                </w:r>
                <w:r>
                  <w:rPr>
                    <w:rFonts w:hint="eastAsia"/>
                  </w:rPr>
                  <w:t xml:space="preserve"> 页</w:t>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single" w:color="auto" w:sz="4" w:space="1"/>
      </w:pBdr>
    </w:pPr>
    <w:r>
      <w:rPr>
        <w:rFonts w:hint="eastAsia" w:hAnsi="宋体"/>
        <w:szCs w:val="28"/>
      </w:rPr>
      <w:t xml:space="preserve">嘉峪关城市生活垃圾分类试点项目  </w:t>
    </w:r>
    <w:r>
      <w:rPr>
        <w:rFonts w:hint="eastAsia"/>
      </w:rPr>
      <w:t xml:space="preserve">                                             可行性研究报告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single" w:color="auto" w:sz="4" w:space="3"/>
      </w:pBdr>
      <w:jc w:val="left"/>
      <w:rPr>
        <w:color w:val="000000"/>
      </w:rPr>
    </w:pPr>
    <w:r>
      <w:rPr>
        <w:rFonts w:hint="eastAsia" w:hAnsi="宋体"/>
        <w:szCs w:val="28"/>
      </w:rPr>
      <w:t xml:space="preserve">嘉峪关城市生活垃圾分类试点项目  </w:t>
    </w:r>
    <w:r>
      <w:pict>
        <v:shape id="_x0000_s2052" o:spid="_x0000_s2052" o:spt="202" type="#_x0000_t202" style="position:absolute;left:0pt;margin-top:0pt;height:144pt;width:144pt;mso-position-horizontal:lef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0lY7tAAAAAFAQAADwAAAAAA&#10;AAABACAAAAAiAAAAZHJzL2Rvd25yZXYueG1sUEsBAhQAFAAAAAgAh07iQA24LBYbAgAAIwQAAA4A&#10;AAAAAAAAAQAgAAAAHwEAAGRycy9lMm9Eb2MueG1sUEsFBgAAAAAGAAYAWQEAAKwFAAAAAA==&#10;">
          <v:path/>
          <v:fill on="f" focussize="0,0"/>
          <v:stroke on="f" weight="0.5pt" joinstyle="miter"/>
          <v:imagedata o:title=""/>
          <o:lock v:ext="edit"/>
          <v:textbox inset="0mm,0mm,0mm,0mm" style="mso-fit-shape-to-text:t;">
            <w:txbxContent>
              <w:p>
                <w:pPr>
                  <w:pStyle w:val="12"/>
                </w:pPr>
                <w:r>
                  <w:fldChar w:fldCharType="begin"/>
                </w:r>
                <w:r>
                  <w:instrText xml:space="preserve"> PAGE  \* MERGEFORMAT </w:instrText>
                </w:r>
                <w:r>
                  <w:fldChar w:fldCharType="separate"/>
                </w:r>
                <w:r>
                  <w:t>139</w:t>
                </w:r>
                <w:r>
                  <w:fldChar w:fldCharType="end"/>
                </w:r>
              </w:p>
            </w:txbxContent>
          </v:textbox>
        </v:shape>
      </w:pict>
    </w:r>
    <w:r>
      <w:rPr>
        <w:rFonts w:hint="eastAsia"/>
      </w:rPr>
      <w:t xml:space="preserve"> </w:t>
    </w:r>
    <w:r>
      <w:rPr>
        <w:rFonts w:hint="eastAsia" w:hAnsi="宋体"/>
        <w:szCs w:val="28"/>
      </w:rPr>
      <w:t xml:space="preserve">                                                  可行性研究报告</w:t>
    </w:r>
  </w:p>
  <w:p>
    <w:pPr>
      <w:spacing w:line="14" w:lineRule="auto"/>
      <w:rPr>
        <w:sz w:val="2"/>
        <w:szCs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single" w:color="auto" w:sz="4" w:space="3"/>
      </w:pBdr>
      <w:jc w:val="left"/>
      <w:rPr>
        <w:color w:val="000000"/>
      </w:rPr>
    </w:pPr>
    <w:r>
      <w:rPr>
        <w:rFonts w:hint="eastAsia" w:hAnsi="宋体"/>
        <w:szCs w:val="28"/>
      </w:rPr>
      <w:t xml:space="preserve">嘉峪关城市生活垃圾分类试点项目  </w:t>
    </w:r>
    <w:r>
      <w:pict>
        <v:shape id="_x0000_s2050" o:spid="_x0000_s2050" o:spt="202" type="#_x0000_t202" style="position:absolute;left:0pt;margin-top:0pt;height:144pt;width:144pt;mso-position-horizontal:lef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0lY7tAAAAAFAQAADwAAAAAA&#10;AAABACAAAAAiAAAAZHJzL2Rvd25yZXYueG1sUEsBAhQAFAAAAAgAh07iQDlXWMIbAgAAIwQAAA4A&#10;AAAAAAAAAQAgAAAAHwEAAGRycy9lMm9Eb2MueG1sUEsFBgAAAAAGAAYAWQEAAKwFAAAAAA==&#10;">
          <v:path/>
          <v:fill on="f" focussize="0,0"/>
          <v:stroke on="f" weight="0.5pt" joinstyle="miter"/>
          <v:imagedata o:title=""/>
          <o:lock v:ext="edit"/>
          <v:textbox inset="0mm,0mm,0mm,0mm" style="mso-fit-shape-to-text:t;">
            <w:txbxContent>
              <w:p>
                <w:pPr>
                  <w:pStyle w:val="12"/>
                </w:pPr>
                <w:r>
                  <w:fldChar w:fldCharType="begin"/>
                </w:r>
                <w:r>
                  <w:instrText xml:space="preserve"> PAGE  \* MERGEFORMAT </w:instrText>
                </w:r>
                <w:r>
                  <w:fldChar w:fldCharType="separate"/>
                </w:r>
                <w:r>
                  <w:t>155</w:t>
                </w:r>
                <w:r>
                  <w:fldChar w:fldCharType="end"/>
                </w:r>
              </w:p>
            </w:txbxContent>
          </v:textbox>
        </v:shape>
      </w:pict>
    </w:r>
    <w:r>
      <w:rPr>
        <w:rFonts w:hint="eastAsia" w:hAnsi="宋体"/>
        <w:szCs w:val="28"/>
      </w:rPr>
      <w:t xml:space="preserve">                                                                                      可行性研究报告</w:t>
    </w:r>
  </w:p>
  <w:p>
    <w:pPr>
      <w:spacing w:line="14" w:lineRule="auto"/>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single" w:color="auto" w:sz="4" w:space="3"/>
      </w:pBdr>
      <w:jc w:val="left"/>
      <w:rPr>
        <w:color w:val="000000"/>
      </w:rPr>
    </w:pPr>
    <w:r>
      <w:pict>
        <v:shape id="_x0000_s2049" o:spid="_x0000_s2049" o:spt="202" type="#_x0000_t202" style="position:absolute;left:0pt;margin-top:0pt;height:144pt;width:144pt;mso-position-horizontal:left;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NJWO7QAAAABQEAAA8AAAAA&#10;AAAAAQAgAAAAIgAAAGRycy9kb3ducmV2LnhtbFBLAQIUABQAAAAIAIdO4kAY5RKHHAIAACMEAAAO&#10;AAAAAAAAAAEAIAAAAB8BAABkcnMvZTJvRG9jLnhtbFBLBQYAAAAABgAGAFkBAACtBQAAAAA=&#10;">
          <v:path/>
          <v:fill on="f" focussize="0,0"/>
          <v:stroke on="f" weight="0.5pt" joinstyle="miter"/>
          <v:imagedata o:title=""/>
          <o:lock v:ext="edit"/>
          <v:textbox inset="0mm,0mm,0mm,0mm" style="mso-fit-shape-to-text:t;">
            <w:txbxContent>
              <w:p>
                <w:pPr>
                  <w:pStyle w:val="12"/>
                </w:pPr>
                <w:r>
                  <w:fldChar w:fldCharType="begin"/>
                </w:r>
                <w:r>
                  <w:instrText xml:space="preserve"> PAGE  \* MERGEFORMAT </w:instrText>
                </w:r>
                <w:r>
                  <w:fldChar w:fldCharType="separate"/>
                </w:r>
                <w:r>
                  <w:t>165</w:t>
                </w:r>
                <w:r>
                  <w:fldChar w:fldCharType="end"/>
                </w:r>
              </w:p>
            </w:txbxContent>
          </v:textbox>
        </v:shape>
      </w:pict>
    </w:r>
    <w:r>
      <w:rPr>
        <w:rFonts w:hint="eastAsia" w:hAnsi="宋体"/>
        <w:szCs w:val="28"/>
      </w:rPr>
      <w:t>嘉峪关城市生活垃圾分类试点项目                                                   可行性研究报告</w:t>
    </w:r>
  </w:p>
  <w:p>
    <w:pPr>
      <w:spacing w:line="14" w:lineRule="auto"/>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A"/>
    <w:multiLevelType w:val="multilevel"/>
    <w:tmpl w:val="0000001A"/>
    <w:lvl w:ilvl="0" w:tentative="0">
      <w:start w:val="1"/>
      <w:numFmt w:val="decimal"/>
      <w:lvlText w:val="%1."/>
      <w:lvlJc w:val="left"/>
      <w:pPr>
        <w:tabs>
          <w:tab w:val="left" w:pos="900"/>
        </w:tabs>
        <w:ind w:left="324" w:hanging="144"/>
      </w:pPr>
      <w:rPr>
        <w:rFonts w:hint="eastAsia"/>
      </w:rPr>
    </w:lvl>
    <w:lvl w:ilvl="1" w:tentative="0">
      <w:start w:val="1"/>
      <w:numFmt w:val="decimal"/>
      <w:lvlText w:val="%1.%2"/>
      <w:lvlJc w:val="left"/>
      <w:pPr>
        <w:tabs>
          <w:tab w:val="left" w:pos="1458"/>
        </w:tabs>
        <w:ind w:left="1458" w:hanging="576"/>
      </w:pPr>
      <w:rPr>
        <w:rFonts w:hint="eastAsia"/>
        <w:lang w:val="en-US" w:eastAsia="zh-CN"/>
      </w:rPr>
    </w:lvl>
    <w:lvl w:ilvl="2" w:tentative="0">
      <w:start w:val="1"/>
      <w:numFmt w:val="decimal"/>
      <w:lvlText w:val="%1.%2.%3"/>
      <w:lvlJc w:val="left"/>
      <w:pPr>
        <w:tabs>
          <w:tab w:val="left" w:pos="720"/>
        </w:tabs>
        <w:ind w:left="720" w:hanging="720"/>
      </w:pPr>
      <w:rPr>
        <w:rFonts w:hint="eastAsia"/>
        <w:lang w:val="en-US" w:eastAsia="zh-CN"/>
      </w:rPr>
    </w:lvl>
    <w:lvl w:ilvl="3" w:tentative="0">
      <w:start w:val="1"/>
      <w:numFmt w:val="decimal"/>
      <w:pStyle w:val="2"/>
      <w:lvlText w:val="%1.%2.%3.%4"/>
      <w:lvlJc w:val="left"/>
      <w:pPr>
        <w:tabs>
          <w:tab w:val="left" w:pos="864"/>
        </w:tabs>
        <w:ind w:left="864" w:hanging="864"/>
      </w:pPr>
      <w:rPr>
        <w:rFonts w:hint="eastAsia"/>
        <w:lang w:val="en-US" w:eastAsia="zh-CN"/>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0DDE2B46"/>
    <w:multiLevelType w:val="multilevel"/>
    <w:tmpl w:val="0DDE2B46"/>
    <w:lvl w:ilvl="0" w:tentative="0">
      <w:start w:val="1"/>
      <w:numFmt w:val="lowerLetter"/>
      <w:suff w:val="nothing"/>
      <w:lvlText w:val="%1   "/>
      <w:lvlJc w:val="left"/>
      <w:pPr>
        <w:ind w:left="544" w:hanging="181"/>
      </w:pPr>
      <w:rPr>
        <w:rFonts w:hint="eastAsia" w:ascii="宋体" w:eastAsia="宋体"/>
        <w:b w:val="0"/>
        <w:i w:val="0"/>
        <w:sz w:val="18"/>
        <w:vertAlign w:val="superscript"/>
      </w:rPr>
    </w:lvl>
    <w:lvl w:ilvl="1" w:tentative="0">
      <w:start w:val="1"/>
      <w:numFmt w:val="lowerLetter"/>
      <w:lvlText w:val="%2"/>
      <w:lvlJc w:val="left"/>
      <w:pPr>
        <w:tabs>
          <w:tab w:val="left" w:pos="57"/>
        </w:tabs>
        <w:ind w:left="363" w:hanging="363"/>
      </w:pPr>
      <w:rPr>
        <w:rFonts w:hint="eastAsia"/>
      </w:rPr>
    </w:lvl>
    <w:lvl w:ilvl="2" w:tentative="0">
      <w:start w:val="1"/>
      <w:numFmt w:val="lowerRoman"/>
      <w:lvlText w:val="%3."/>
      <w:lvlJc w:val="right"/>
      <w:pPr>
        <w:tabs>
          <w:tab w:val="left" w:pos="57"/>
        </w:tabs>
        <w:ind w:left="363" w:hanging="363"/>
      </w:pPr>
      <w:rPr>
        <w:rFonts w:hint="eastAsia"/>
      </w:rPr>
    </w:lvl>
    <w:lvl w:ilvl="3" w:tentative="0">
      <w:start w:val="1"/>
      <w:numFmt w:val="decimal"/>
      <w:lvlText w:val="%4."/>
      <w:lvlJc w:val="left"/>
      <w:pPr>
        <w:tabs>
          <w:tab w:val="left" w:pos="57"/>
        </w:tabs>
        <w:ind w:left="363" w:hanging="363"/>
      </w:pPr>
      <w:rPr>
        <w:rFonts w:hint="eastAsia"/>
      </w:rPr>
    </w:lvl>
    <w:lvl w:ilvl="4" w:tentative="0">
      <w:start w:val="1"/>
      <w:numFmt w:val="lowerLetter"/>
      <w:lvlText w:val="%5)"/>
      <w:lvlJc w:val="left"/>
      <w:pPr>
        <w:tabs>
          <w:tab w:val="left" w:pos="57"/>
        </w:tabs>
        <w:ind w:left="363" w:hanging="363"/>
      </w:pPr>
      <w:rPr>
        <w:rFonts w:hint="eastAsia"/>
      </w:rPr>
    </w:lvl>
    <w:lvl w:ilvl="5" w:tentative="0">
      <w:start w:val="1"/>
      <w:numFmt w:val="lowerRoman"/>
      <w:lvlText w:val="%6."/>
      <w:lvlJc w:val="right"/>
      <w:pPr>
        <w:tabs>
          <w:tab w:val="left" w:pos="57"/>
        </w:tabs>
        <w:ind w:left="363" w:hanging="363"/>
      </w:pPr>
      <w:rPr>
        <w:rFonts w:hint="eastAsia"/>
      </w:rPr>
    </w:lvl>
    <w:lvl w:ilvl="6" w:tentative="0">
      <w:start w:val="1"/>
      <w:numFmt w:val="decimal"/>
      <w:lvlText w:val="%7."/>
      <w:lvlJc w:val="left"/>
      <w:pPr>
        <w:tabs>
          <w:tab w:val="left" w:pos="57"/>
        </w:tabs>
        <w:ind w:left="363" w:hanging="363"/>
      </w:pPr>
      <w:rPr>
        <w:rFonts w:hint="eastAsia"/>
      </w:rPr>
    </w:lvl>
    <w:lvl w:ilvl="7" w:tentative="0">
      <w:start w:val="1"/>
      <w:numFmt w:val="lowerLetter"/>
      <w:lvlText w:val="%8)"/>
      <w:lvlJc w:val="left"/>
      <w:pPr>
        <w:tabs>
          <w:tab w:val="left" w:pos="57"/>
        </w:tabs>
        <w:ind w:left="363" w:hanging="363"/>
      </w:pPr>
      <w:rPr>
        <w:rFonts w:hint="eastAsia"/>
      </w:rPr>
    </w:lvl>
    <w:lvl w:ilvl="8" w:tentative="0">
      <w:start w:val="1"/>
      <w:numFmt w:val="lowerRoman"/>
      <w:lvlText w:val="%9."/>
      <w:lvlJc w:val="right"/>
      <w:pPr>
        <w:tabs>
          <w:tab w:val="left" w:pos="57"/>
        </w:tabs>
        <w:ind w:left="363" w:hanging="363"/>
      </w:pPr>
      <w:rPr>
        <w:rFonts w:hint="eastAsia"/>
      </w:rPr>
    </w:lvl>
  </w:abstractNum>
  <w:abstractNum w:abstractNumId="2">
    <w:nsid w:val="1FC91163"/>
    <w:multiLevelType w:val="multilevel"/>
    <w:tmpl w:val="1FC91163"/>
    <w:lvl w:ilvl="0" w:tentative="0">
      <w:start w:val="1"/>
      <w:numFmt w:val="decimal"/>
      <w:suff w:val="nothing"/>
      <w:lvlText w:val="%1　"/>
      <w:lvlJc w:val="left"/>
      <w:pPr>
        <w:ind w:left="0" w:firstLine="0"/>
      </w:pPr>
      <w:rPr>
        <w:rFonts w:hint="eastAsia" w:ascii="黑体" w:hAnsi="Times New Roman" w:eastAsia="黑体"/>
        <w:b w:val="0"/>
        <w:i w:val="0"/>
        <w:sz w:val="21"/>
        <w:szCs w:val="21"/>
      </w:rPr>
    </w:lvl>
    <w:lvl w:ilvl="1" w:tentative="0">
      <w:start w:val="1"/>
      <w:numFmt w:val="decimal"/>
      <w:pStyle w:val="38"/>
      <w:suff w:val="nothing"/>
      <w:lvlText w:val="%1.%2　"/>
      <w:lvlJc w:val="left"/>
      <w:pPr>
        <w:ind w:left="0" w:firstLine="0"/>
      </w:pPr>
      <w:rPr>
        <w:rFonts w:hint="eastAsia" w:ascii="黑体" w:hAnsi="Times New Roman" w:eastAsia="黑体" w:cs="Times New Roman"/>
        <w:b w:val="0"/>
        <w:bCs w:val="0"/>
        <w:i w:val="0"/>
        <w:iCs w:val="0"/>
        <w:caps w:val="0"/>
        <w:strike w:val="0"/>
        <w:dstrike w:val="0"/>
        <w:vanish w:val="0"/>
        <w:spacing w:val="0"/>
        <w:kern w:val="0"/>
        <w:position w:val="0"/>
        <w:sz w:val="21"/>
        <w:szCs w:val="21"/>
        <w:u w:val="none"/>
        <w:vertAlign w:val="baseline"/>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3">
    <w:nsid w:val="497C9152"/>
    <w:multiLevelType w:val="singleLevel"/>
    <w:tmpl w:val="497C9152"/>
    <w:lvl w:ilvl="0" w:tentative="0">
      <w:start w:val="3"/>
      <w:numFmt w:val="decimal"/>
      <w:suff w:val="nothing"/>
      <w:lvlText w:val="%1）"/>
      <w:lvlJc w:val="left"/>
    </w:lvl>
  </w:abstractNum>
  <w:abstractNum w:abstractNumId="4">
    <w:nsid w:val="6F205D64"/>
    <w:multiLevelType w:val="multilevel"/>
    <w:tmpl w:val="6F205D64"/>
    <w:lvl w:ilvl="0" w:tentative="0">
      <w:start w:val="1"/>
      <w:numFmt w:val="chineseCountingThousand"/>
      <w:lvlText w:val="%1、"/>
      <w:lvlJc w:val="left"/>
      <w:pPr>
        <w:ind w:left="425" w:hanging="425"/>
      </w:pPr>
      <w:rPr>
        <w:rFonts w:hint="eastAsia" w:cs="Times New Roman"/>
      </w:rPr>
    </w:lvl>
    <w:lvl w:ilvl="1" w:tentative="0">
      <w:start w:val="1"/>
      <w:numFmt w:val="decimal"/>
      <w:isLgl/>
      <w:lvlText w:val="%1.%2"/>
      <w:lvlJc w:val="left"/>
      <w:pPr>
        <w:ind w:left="992" w:hanging="567"/>
      </w:pPr>
      <w:rPr>
        <w:rFonts w:hint="eastAsia" w:cs="Times New Roman"/>
      </w:rPr>
    </w:lvl>
    <w:lvl w:ilvl="2" w:tentative="0">
      <w:start w:val="1"/>
      <w:numFmt w:val="decimal"/>
      <w:isLgl/>
      <w:lvlText w:val="%1.%2.%3"/>
      <w:lvlJc w:val="left"/>
      <w:pPr>
        <w:ind w:left="1418" w:hanging="567"/>
      </w:pPr>
      <w:rPr>
        <w:rFonts w:hint="eastAsia" w:cs="Times New Roman"/>
      </w:rPr>
    </w:lvl>
    <w:lvl w:ilvl="3" w:tentative="0">
      <w:start w:val="1"/>
      <w:numFmt w:val="decimal"/>
      <w:isLgl/>
      <w:lvlText w:val="%1.%2.%3.%4"/>
      <w:lvlJc w:val="left"/>
      <w:pPr>
        <w:ind w:left="1984" w:hanging="708"/>
      </w:pPr>
      <w:rPr>
        <w:rFonts w:hint="eastAsia" w:cs="Times New Roman"/>
      </w:rPr>
    </w:lvl>
    <w:lvl w:ilvl="4" w:tentative="0">
      <w:start w:val="1"/>
      <w:numFmt w:val="decimal"/>
      <w:isLgl/>
      <w:lvlText w:val="%1.%2.%3.%4.%5"/>
      <w:lvlJc w:val="left"/>
      <w:pPr>
        <w:ind w:left="2551" w:hanging="850"/>
      </w:pPr>
      <w:rPr>
        <w:rFonts w:hint="eastAsia" w:cs="Times New Roman"/>
      </w:rPr>
    </w:lvl>
    <w:lvl w:ilvl="5" w:tentative="0">
      <w:start w:val="1"/>
      <w:numFmt w:val="decimal"/>
      <w:isLgl/>
      <w:lvlText w:val="%1.%2.%3.%4.%5.%6"/>
      <w:lvlJc w:val="left"/>
      <w:pPr>
        <w:ind w:left="3260" w:hanging="1134"/>
      </w:pPr>
      <w:rPr>
        <w:rFonts w:hint="eastAsia" w:cs="Times New Roman"/>
      </w:rPr>
    </w:lvl>
    <w:lvl w:ilvl="6" w:tentative="0">
      <w:start w:val="1"/>
      <w:numFmt w:val="decimal"/>
      <w:isLgl/>
      <w:lvlText w:val="%1.%2.%3.%4.%5.%6.%7"/>
      <w:lvlJc w:val="left"/>
      <w:pPr>
        <w:ind w:left="3827" w:hanging="1276"/>
      </w:pPr>
      <w:rPr>
        <w:rFonts w:hint="eastAsia" w:cs="Times New Roman"/>
      </w:rPr>
    </w:lvl>
    <w:lvl w:ilvl="7" w:tentative="0">
      <w:start w:val="1"/>
      <w:numFmt w:val="decimal"/>
      <w:isLgl/>
      <w:lvlText w:val="%1.%2.%3.%4.%5.%6.%7.%8"/>
      <w:lvlJc w:val="left"/>
      <w:pPr>
        <w:ind w:left="4394" w:hanging="1418"/>
      </w:pPr>
      <w:rPr>
        <w:rFonts w:hint="eastAsia" w:cs="Times New Roman"/>
      </w:rPr>
    </w:lvl>
    <w:lvl w:ilvl="8" w:tentative="0">
      <w:start w:val="1"/>
      <w:numFmt w:val="decimal"/>
      <w:isLgl/>
      <w:lvlText w:val="%1.%2.%3.%4.%5.%6.%7.%8.%9"/>
      <w:lvlJc w:val="left"/>
      <w:pPr>
        <w:ind w:left="5102" w:hanging="1700"/>
      </w:pPr>
      <w:rPr>
        <w:rFonts w:hint="eastAsia" w:cs="Times New Roman"/>
      </w:rPr>
    </w:lvl>
  </w:abstractNum>
  <w:abstractNum w:abstractNumId="5">
    <w:nsid w:val="75B85145"/>
    <w:multiLevelType w:val="singleLevel"/>
    <w:tmpl w:val="75B85145"/>
    <w:lvl w:ilvl="0" w:tentative="0">
      <w:start w:val="1"/>
      <w:numFmt w:val="decimal"/>
      <w:suff w:val="nothing"/>
      <w:lvlText w:val="%1）"/>
      <w:lvlJc w:val="left"/>
    </w:lvl>
  </w:abstractNum>
  <w:num w:numId="1">
    <w:abstractNumId w:val="0"/>
  </w:num>
  <w:num w:numId="2">
    <w:abstractNumId w:val="2"/>
  </w:num>
  <w:num w:numId="3">
    <w:abstractNumId w:val="4"/>
  </w:num>
  <w:num w:numId="4">
    <w:abstractNumId w:val="1"/>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3"/>
  <w:drawingGridVerticalSpacing w:val="290"/>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rsids>
    <w:rsidRoot w:val="00172A27"/>
    <w:rsid w:val="00055D38"/>
    <w:rsid w:val="000C0FE0"/>
    <w:rsid w:val="000F2486"/>
    <w:rsid w:val="00101DA1"/>
    <w:rsid w:val="00172A27"/>
    <w:rsid w:val="00176FCA"/>
    <w:rsid w:val="002015DE"/>
    <w:rsid w:val="002333E9"/>
    <w:rsid w:val="002570A6"/>
    <w:rsid w:val="00287092"/>
    <w:rsid w:val="00331401"/>
    <w:rsid w:val="003427F3"/>
    <w:rsid w:val="003C4ADB"/>
    <w:rsid w:val="00453647"/>
    <w:rsid w:val="004B34EC"/>
    <w:rsid w:val="004F7BF3"/>
    <w:rsid w:val="005A54CF"/>
    <w:rsid w:val="00620688"/>
    <w:rsid w:val="006327F1"/>
    <w:rsid w:val="006B33BA"/>
    <w:rsid w:val="0075497F"/>
    <w:rsid w:val="00761349"/>
    <w:rsid w:val="007A37FF"/>
    <w:rsid w:val="007C4CFF"/>
    <w:rsid w:val="00814B4E"/>
    <w:rsid w:val="0082322F"/>
    <w:rsid w:val="008925AF"/>
    <w:rsid w:val="008B1EF9"/>
    <w:rsid w:val="008F70A6"/>
    <w:rsid w:val="009800DB"/>
    <w:rsid w:val="009D7D86"/>
    <w:rsid w:val="009F5B52"/>
    <w:rsid w:val="00A42501"/>
    <w:rsid w:val="00B1402D"/>
    <w:rsid w:val="00B85DC6"/>
    <w:rsid w:val="00BF0FCC"/>
    <w:rsid w:val="00BF6922"/>
    <w:rsid w:val="00CB300E"/>
    <w:rsid w:val="00CF5127"/>
    <w:rsid w:val="00D70EE8"/>
    <w:rsid w:val="00E756E7"/>
    <w:rsid w:val="00E9552E"/>
    <w:rsid w:val="00ED32A1"/>
    <w:rsid w:val="00EE5565"/>
    <w:rsid w:val="00F167BA"/>
    <w:rsid w:val="00F3643D"/>
    <w:rsid w:val="01012198"/>
    <w:rsid w:val="011C4B67"/>
    <w:rsid w:val="01FA2485"/>
    <w:rsid w:val="02111BC0"/>
    <w:rsid w:val="024453A1"/>
    <w:rsid w:val="024C0C81"/>
    <w:rsid w:val="027614CE"/>
    <w:rsid w:val="03282EE7"/>
    <w:rsid w:val="042B626E"/>
    <w:rsid w:val="049C2900"/>
    <w:rsid w:val="05594927"/>
    <w:rsid w:val="05C36ED6"/>
    <w:rsid w:val="06335C3D"/>
    <w:rsid w:val="06B22825"/>
    <w:rsid w:val="06E95D6C"/>
    <w:rsid w:val="075B4324"/>
    <w:rsid w:val="07E40C22"/>
    <w:rsid w:val="08081207"/>
    <w:rsid w:val="083118BF"/>
    <w:rsid w:val="087C399C"/>
    <w:rsid w:val="088C71C3"/>
    <w:rsid w:val="08F03A1B"/>
    <w:rsid w:val="094A2F93"/>
    <w:rsid w:val="09E967A3"/>
    <w:rsid w:val="09F40B50"/>
    <w:rsid w:val="0A452BF2"/>
    <w:rsid w:val="0A520E7B"/>
    <w:rsid w:val="0A82532C"/>
    <w:rsid w:val="0B032161"/>
    <w:rsid w:val="0B2B6EBE"/>
    <w:rsid w:val="0B9C63F9"/>
    <w:rsid w:val="0BA3643E"/>
    <w:rsid w:val="0BE85269"/>
    <w:rsid w:val="0BEB3485"/>
    <w:rsid w:val="0BF4454F"/>
    <w:rsid w:val="0DA52916"/>
    <w:rsid w:val="0E0F5387"/>
    <w:rsid w:val="0F100B16"/>
    <w:rsid w:val="0F12741F"/>
    <w:rsid w:val="0F2F5953"/>
    <w:rsid w:val="0F9245EC"/>
    <w:rsid w:val="0FE71E13"/>
    <w:rsid w:val="108632DA"/>
    <w:rsid w:val="10985990"/>
    <w:rsid w:val="1124541D"/>
    <w:rsid w:val="11B201F0"/>
    <w:rsid w:val="12053816"/>
    <w:rsid w:val="12165293"/>
    <w:rsid w:val="123E72C6"/>
    <w:rsid w:val="124B74E2"/>
    <w:rsid w:val="127670E8"/>
    <w:rsid w:val="12970054"/>
    <w:rsid w:val="12A91D82"/>
    <w:rsid w:val="12C40ADF"/>
    <w:rsid w:val="133F420D"/>
    <w:rsid w:val="13695CC8"/>
    <w:rsid w:val="140227C9"/>
    <w:rsid w:val="140645BA"/>
    <w:rsid w:val="141B7C1F"/>
    <w:rsid w:val="157D64CD"/>
    <w:rsid w:val="15BB1BCE"/>
    <w:rsid w:val="16036A81"/>
    <w:rsid w:val="16C37A80"/>
    <w:rsid w:val="1736447C"/>
    <w:rsid w:val="174337BB"/>
    <w:rsid w:val="176A3F93"/>
    <w:rsid w:val="17BA0DAF"/>
    <w:rsid w:val="18EF4541"/>
    <w:rsid w:val="18FE1D7F"/>
    <w:rsid w:val="1A6F7C1A"/>
    <w:rsid w:val="1A7B0A05"/>
    <w:rsid w:val="1B0471B1"/>
    <w:rsid w:val="1D933A58"/>
    <w:rsid w:val="1E160365"/>
    <w:rsid w:val="1E3A23C6"/>
    <w:rsid w:val="1EA90407"/>
    <w:rsid w:val="1EE06548"/>
    <w:rsid w:val="1F2F0893"/>
    <w:rsid w:val="1F41410A"/>
    <w:rsid w:val="1FC67BD1"/>
    <w:rsid w:val="209A666B"/>
    <w:rsid w:val="20C02F82"/>
    <w:rsid w:val="21B804E8"/>
    <w:rsid w:val="21D94E32"/>
    <w:rsid w:val="22073892"/>
    <w:rsid w:val="221F77AB"/>
    <w:rsid w:val="226D36A1"/>
    <w:rsid w:val="22CF38EC"/>
    <w:rsid w:val="22E50493"/>
    <w:rsid w:val="23B31265"/>
    <w:rsid w:val="23EB599F"/>
    <w:rsid w:val="23FF5785"/>
    <w:rsid w:val="24397B04"/>
    <w:rsid w:val="24812C29"/>
    <w:rsid w:val="25070756"/>
    <w:rsid w:val="25533AB4"/>
    <w:rsid w:val="267E3B45"/>
    <w:rsid w:val="269D127E"/>
    <w:rsid w:val="26A77BA1"/>
    <w:rsid w:val="280E132E"/>
    <w:rsid w:val="29A32EE7"/>
    <w:rsid w:val="29B76729"/>
    <w:rsid w:val="2A1577DC"/>
    <w:rsid w:val="2A20559E"/>
    <w:rsid w:val="2A2A4A64"/>
    <w:rsid w:val="2AC267D6"/>
    <w:rsid w:val="2B203F46"/>
    <w:rsid w:val="2B5727EB"/>
    <w:rsid w:val="2B6473E0"/>
    <w:rsid w:val="2B7802C9"/>
    <w:rsid w:val="2C4450AE"/>
    <w:rsid w:val="2C7E4129"/>
    <w:rsid w:val="2CD5609B"/>
    <w:rsid w:val="2CEA5EF0"/>
    <w:rsid w:val="2D426997"/>
    <w:rsid w:val="2D5A10DF"/>
    <w:rsid w:val="2DBB0290"/>
    <w:rsid w:val="2DC24A52"/>
    <w:rsid w:val="2E796ABD"/>
    <w:rsid w:val="2FE762A2"/>
    <w:rsid w:val="30714D3B"/>
    <w:rsid w:val="30A05689"/>
    <w:rsid w:val="31B30862"/>
    <w:rsid w:val="31E651CA"/>
    <w:rsid w:val="31FD4C40"/>
    <w:rsid w:val="32564E0B"/>
    <w:rsid w:val="32A6733C"/>
    <w:rsid w:val="32F3532F"/>
    <w:rsid w:val="33052D2E"/>
    <w:rsid w:val="332104AA"/>
    <w:rsid w:val="33392AD8"/>
    <w:rsid w:val="3371319B"/>
    <w:rsid w:val="339150A2"/>
    <w:rsid w:val="340E59E7"/>
    <w:rsid w:val="34BC23DE"/>
    <w:rsid w:val="35670F89"/>
    <w:rsid w:val="35BB36B7"/>
    <w:rsid w:val="362E7455"/>
    <w:rsid w:val="36CE486D"/>
    <w:rsid w:val="375B325F"/>
    <w:rsid w:val="376F535C"/>
    <w:rsid w:val="379A5D28"/>
    <w:rsid w:val="37CF67EE"/>
    <w:rsid w:val="38082DCD"/>
    <w:rsid w:val="389C729A"/>
    <w:rsid w:val="38BB3E40"/>
    <w:rsid w:val="395076DB"/>
    <w:rsid w:val="39BE072D"/>
    <w:rsid w:val="3A057A8A"/>
    <w:rsid w:val="3A364E49"/>
    <w:rsid w:val="3A3D182B"/>
    <w:rsid w:val="3AAD5E9E"/>
    <w:rsid w:val="3AD409E4"/>
    <w:rsid w:val="3B8A787F"/>
    <w:rsid w:val="3B9918AA"/>
    <w:rsid w:val="3DB3073A"/>
    <w:rsid w:val="3E3D7127"/>
    <w:rsid w:val="3E471A3F"/>
    <w:rsid w:val="3E8D731D"/>
    <w:rsid w:val="3E9E1677"/>
    <w:rsid w:val="3EBE74BE"/>
    <w:rsid w:val="3F6F3918"/>
    <w:rsid w:val="3FA40C32"/>
    <w:rsid w:val="40D70B3B"/>
    <w:rsid w:val="41362006"/>
    <w:rsid w:val="418E5364"/>
    <w:rsid w:val="41990DFA"/>
    <w:rsid w:val="42196A9C"/>
    <w:rsid w:val="42713BA9"/>
    <w:rsid w:val="433C0279"/>
    <w:rsid w:val="43667BDF"/>
    <w:rsid w:val="43BB1D03"/>
    <w:rsid w:val="43C26B8B"/>
    <w:rsid w:val="43D74C28"/>
    <w:rsid w:val="442F5FE4"/>
    <w:rsid w:val="447B420F"/>
    <w:rsid w:val="44982565"/>
    <w:rsid w:val="463A2FAC"/>
    <w:rsid w:val="4753164F"/>
    <w:rsid w:val="479B14E0"/>
    <w:rsid w:val="47E75DBE"/>
    <w:rsid w:val="48042F25"/>
    <w:rsid w:val="490E3397"/>
    <w:rsid w:val="49243FA9"/>
    <w:rsid w:val="49677108"/>
    <w:rsid w:val="49772D48"/>
    <w:rsid w:val="497942FD"/>
    <w:rsid w:val="4A17384D"/>
    <w:rsid w:val="4A8650B2"/>
    <w:rsid w:val="4AC55020"/>
    <w:rsid w:val="4B77349A"/>
    <w:rsid w:val="4BA6087C"/>
    <w:rsid w:val="4C216529"/>
    <w:rsid w:val="4C5107EC"/>
    <w:rsid w:val="4CD32F36"/>
    <w:rsid w:val="4CDA2A50"/>
    <w:rsid w:val="4E730FA8"/>
    <w:rsid w:val="4EA17314"/>
    <w:rsid w:val="4EB17E7A"/>
    <w:rsid w:val="4EFD4C56"/>
    <w:rsid w:val="4F407197"/>
    <w:rsid w:val="4F4D7B1F"/>
    <w:rsid w:val="4F816D74"/>
    <w:rsid w:val="50492B48"/>
    <w:rsid w:val="511067F1"/>
    <w:rsid w:val="51185DB7"/>
    <w:rsid w:val="512465B8"/>
    <w:rsid w:val="51540664"/>
    <w:rsid w:val="51854B5D"/>
    <w:rsid w:val="51E03240"/>
    <w:rsid w:val="526946E1"/>
    <w:rsid w:val="52C22562"/>
    <w:rsid w:val="539A778A"/>
    <w:rsid w:val="53C71FFB"/>
    <w:rsid w:val="544C0CE0"/>
    <w:rsid w:val="550C412A"/>
    <w:rsid w:val="55623C00"/>
    <w:rsid w:val="558174C1"/>
    <w:rsid w:val="55846364"/>
    <w:rsid w:val="564C4C76"/>
    <w:rsid w:val="56CF1ECA"/>
    <w:rsid w:val="57263C63"/>
    <w:rsid w:val="57C7056A"/>
    <w:rsid w:val="57FD716F"/>
    <w:rsid w:val="582C2886"/>
    <w:rsid w:val="5848185C"/>
    <w:rsid w:val="58D77CD9"/>
    <w:rsid w:val="59006F84"/>
    <w:rsid w:val="594D4EA5"/>
    <w:rsid w:val="59BC7A87"/>
    <w:rsid w:val="59C10058"/>
    <w:rsid w:val="5A67188C"/>
    <w:rsid w:val="5A8D6D33"/>
    <w:rsid w:val="5A927152"/>
    <w:rsid w:val="5BBC4D92"/>
    <w:rsid w:val="5C535730"/>
    <w:rsid w:val="5D1B5ACE"/>
    <w:rsid w:val="5DCC37BE"/>
    <w:rsid w:val="5DD50772"/>
    <w:rsid w:val="5E871324"/>
    <w:rsid w:val="5EA53F09"/>
    <w:rsid w:val="5F223345"/>
    <w:rsid w:val="601513EE"/>
    <w:rsid w:val="62AE736C"/>
    <w:rsid w:val="6348085C"/>
    <w:rsid w:val="6369390E"/>
    <w:rsid w:val="636E33D6"/>
    <w:rsid w:val="639C1DF2"/>
    <w:rsid w:val="63E34E3C"/>
    <w:rsid w:val="63EE673C"/>
    <w:rsid w:val="63FA6AF0"/>
    <w:rsid w:val="64A446CF"/>
    <w:rsid w:val="64D16855"/>
    <w:rsid w:val="65425CA4"/>
    <w:rsid w:val="659F7FFE"/>
    <w:rsid w:val="65CB0D25"/>
    <w:rsid w:val="68434886"/>
    <w:rsid w:val="684E6705"/>
    <w:rsid w:val="69250072"/>
    <w:rsid w:val="69256AF7"/>
    <w:rsid w:val="693345C7"/>
    <w:rsid w:val="693935DC"/>
    <w:rsid w:val="696962C5"/>
    <w:rsid w:val="69984458"/>
    <w:rsid w:val="69AE22C3"/>
    <w:rsid w:val="69B3247B"/>
    <w:rsid w:val="6A0E5D84"/>
    <w:rsid w:val="6A45025F"/>
    <w:rsid w:val="6A9D0059"/>
    <w:rsid w:val="6B4C606F"/>
    <w:rsid w:val="6BC63918"/>
    <w:rsid w:val="6C643361"/>
    <w:rsid w:val="6D772135"/>
    <w:rsid w:val="6E13740E"/>
    <w:rsid w:val="6F381939"/>
    <w:rsid w:val="6F407666"/>
    <w:rsid w:val="6FC87F1F"/>
    <w:rsid w:val="6FCE6BD2"/>
    <w:rsid w:val="70AA278C"/>
    <w:rsid w:val="70E30BA8"/>
    <w:rsid w:val="712C4E9E"/>
    <w:rsid w:val="714031FA"/>
    <w:rsid w:val="725C5A63"/>
    <w:rsid w:val="726B6073"/>
    <w:rsid w:val="72D563DD"/>
    <w:rsid w:val="730214C3"/>
    <w:rsid w:val="73134414"/>
    <w:rsid w:val="73617898"/>
    <w:rsid w:val="73C021DA"/>
    <w:rsid w:val="74305E37"/>
    <w:rsid w:val="753945C3"/>
    <w:rsid w:val="7566362D"/>
    <w:rsid w:val="75DC3525"/>
    <w:rsid w:val="774A72E9"/>
    <w:rsid w:val="779C516C"/>
    <w:rsid w:val="78980385"/>
    <w:rsid w:val="797A2ECA"/>
    <w:rsid w:val="7A5B16E3"/>
    <w:rsid w:val="7A8F0C81"/>
    <w:rsid w:val="7ABA7B64"/>
    <w:rsid w:val="7B013F9F"/>
    <w:rsid w:val="7B32488E"/>
    <w:rsid w:val="7B714EE3"/>
    <w:rsid w:val="7C2104B4"/>
    <w:rsid w:val="7C3C0D90"/>
    <w:rsid w:val="7C5457FC"/>
    <w:rsid w:val="7D5864E2"/>
    <w:rsid w:val="7D670C2D"/>
    <w:rsid w:val="7D70511B"/>
    <w:rsid w:val="7D8043C3"/>
    <w:rsid w:val="7E992D64"/>
    <w:rsid w:val="7F812A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0"/>
    <w:pPr>
      <w:keepNext/>
      <w:keepLines/>
      <w:spacing w:line="576" w:lineRule="auto"/>
      <w:outlineLvl w:val="0"/>
    </w:pPr>
    <w:rPr>
      <w:b/>
      <w:kern w:val="44"/>
      <w:sz w:val="44"/>
    </w:rPr>
  </w:style>
  <w:style w:type="paragraph" w:styleId="4">
    <w:name w:val="heading 2"/>
    <w:basedOn w:val="1"/>
    <w:next w:val="1"/>
    <w:qFormat/>
    <w:uiPriority w:val="0"/>
    <w:pPr>
      <w:keepNext/>
      <w:keepLines/>
      <w:spacing w:before="260" w:after="260" w:line="413" w:lineRule="auto"/>
      <w:outlineLvl w:val="1"/>
    </w:pPr>
    <w:rPr>
      <w:rFonts w:ascii="Arial" w:hAnsi="Arial" w:eastAsia="黑体" w:cs="Times New Roman"/>
      <w:b/>
      <w:sz w:val="32"/>
    </w:rPr>
  </w:style>
  <w:style w:type="paragraph" w:styleId="5">
    <w:name w:val="heading 3"/>
    <w:basedOn w:val="1"/>
    <w:next w:val="1"/>
    <w:unhideWhenUsed/>
    <w:qFormat/>
    <w:uiPriority w:val="0"/>
    <w:pPr>
      <w:keepNext/>
      <w:keepLines/>
      <w:spacing w:before="260" w:after="260" w:line="416" w:lineRule="auto"/>
      <w:outlineLvl w:val="2"/>
    </w:pPr>
    <w:rPr>
      <w:b/>
      <w:bCs/>
      <w:sz w:val="32"/>
      <w:szCs w:val="32"/>
    </w:rPr>
  </w:style>
  <w:style w:type="paragraph" w:styleId="2">
    <w:name w:val="heading 4"/>
    <w:basedOn w:val="1"/>
    <w:next w:val="1"/>
    <w:unhideWhenUsed/>
    <w:qFormat/>
    <w:uiPriority w:val="9"/>
    <w:pPr>
      <w:keepNext/>
      <w:keepLines/>
      <w:numPr>
        <w:ilvl w:val="3"/>
        <w:numId w:val="1"/>
      </w:numPr>
      <w:spacing w:line="300" w:lineRule="auto"/>
      <w:outlineLvl w:val="3"/>
    </w:pPr>
    <w:rPr>
      <w:b/>
      <w:kern w:val="0"/>
      <w:sz w:val="28"/>
      <w:szCs w:val="28"/>
      <w:lang w:val="zh-CN"/>
    </w:rPr>
  </w:style>
  <w:style w:type="character" w:default="1" w:styleId="18">
    <w:name w:val="Default Paragraph Font"/>
    <w:semiHidden/>
    <w:unhideWhenUsed/>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6">
    <w:name w:val="annotation text"/>
    <w:basedOn w:val="1"/>
    <w:semiHidden/>
    <w:unhideWhenUsed/>
    <w:qFormat/>
    <w:uiPriority w:val="99"/>
    <w:pPr>
      <w:jc w:val="left"/>
    </w:pPr>
  </w:style>
  <w:style w:type="paragraph" w:styleId="7">
    <w:name w:val="Body Text"/>
    <w:basedOn w:val="1"/>
    <w:qFormat/>
    <w:uiPriority w:val="0"/>
  </w:style>
  <w:style w:type="paragraph" w:styleId="8">
    <w:name w:val="toc 3"/>
    <w:basedOn w:val="1"/>
    <w:next w:val="1"/>
    <w:semiHidden/>
    <w:unhideWhenUsed/>
    <w:qFormat/>
    <w:uiPriority w:val="39"/>
    <w:pPr>
      <w:widowControl/>
      <w:spacing w:after="100" w:line="276" w:lineRule="auto"/>
      <w:ind w:left="440"/>
      <w:jc w:val="left"/>
    </w:pPr>
    <w:rPr>
      <w:kern w:val="0"/>
      <w:sz w:val="22"/>
    </w:rPr>
  </w:style>
  <w:style w:type="paragraph" w:styleId="9">
    <w:name w:val="Plain Text"/>
    <w:basedOn w:val="1"/>
    <w:qFormat/>
    <w:uiPriority w:val="0"/>
    <w:rPr>
      <w:rFonts w:ascii="宋体" w:hAnsi="Courier New" w:cs="Courier New"/>
      <w:szCs w:val="21"/>
    </w:rPr>
  </w:style>
  <w:style w:type="paragraph" w:styleId="10">
    <w:name w:val="Balloon Text"/>
    <w:basedOn w:val="1"/>
    <w:link w:val="48"/>
    <w:semiHidden/>
    <w:unhideWhenUsed/>
    <w:qFormat/>
    <w:uiPriority w:val="99"/>
    <w:rPr>
      <w:sz w:val="18"/>
      <w:szCs w:val="18"/>
    </w:rPr>
  </w:style>
  <w:style w:type="paragraph" w:styleId="11">
    <w:name w:val="footer"/>
    <w:basedOn w:val="1"/>
    <w:qFormat/>
    <w:uiPriority w:val="0"/>
    <w:pPr>
      <w:tabs>
        <w:tab w:val="center" w:pos="4153"/>
        <w:tab w:val="right" w:pos="8306"/>
      </w:tabs>
      <w:snapToGrid w:val="0"/>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3">
    <w:name w:val="toc 1"/>
    <w:basedOn w:val="1"/>
    <w:next w:val="1"/>
    <w:semiHidden/>
    <w:unhideWhenUsed/>
    <w:qFormat/>
    <w:uiPriority w:val="39"/>
    <w:pPr>
      <w:widowControl/>
      <w:spacing w:after="100" w:line="276" w:lineRule="auto"/>
      <w:jc w:val="left"/>
    </w:pPr>
    <w:rPr>
      <w:kern w:val="0"/>
      <w:sz w:val="22"/>
    </w:rPr>
  </w:style>
  <w:style w:type="paragraph" w:styleId="14">
    <w:name w:val="toc 2"/>
    <w:basedOn w:val="1"/>
    <w:next w:val="1"/>
    <w:semiHidden/>
    <w:unhideWhenUsed/>
    <w:qFormat/>
    <w:uiPriority w:val="39"/>
    <w:pPr>
      <w:widowControl/>
      <w:spacing w:after="100" w:line="276" w:lineRule="auto"/>
      <w:ind w:left="220"/>
      <w:jc w:val="left"/>
    </w:pPr>
    <w:rPr>
      <w:kern w:val="0"/>
      <w:sz w:val="22"/>
    </w:rPr>
  </w:style>
  <w:style w:type="paragraph" w:styleId="15">
    <w:name w:val="Normal (Web)"/>
    <w:basedOn w:val="1"/>
    <w:qFormat/>
    <w:uiPriority w:val="0"/>
    <w:pPr>
      <w:spacing w:beforeAutospacing="1" w:afterAutospacing="1"/>
      <w:jc w:val="left"/>
    </w:pPr>
    <w:rPr>
      <w:rFonts w:cs="Times New Roman"/>
      <w:kern w:val="0"/>
      <w:sz w:val="24"/>
    </w:rPr>
  </w:style>
  <w:style w:type="table" w:styleId="17">
    <w:name w:val="Table Grid"/>
    <w:basedOn w:val="16"/>
    <w:qFormat/>
    <w:uiPriority w:val="0"/>
    <w:rPr>
      <w:rFonts w:ascii="宋体"/>
      <w:sz w:val="18"/>
      <w:szCs w:val="18"/>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19">
    <w:name w:val="Strong"/>
    <w:basedOn w:val="18"/>
    <w:qFormat/>
    <w:uiPriority w:val="0"/>
    <w:rPr>
      <w:b/>
    </w:rPr>
  </w:style>
  <w:style w:type="character" w:styleId="20">
    <w:name w:val="Hyperlink"/>
    <w:basedOn w:val="18"/>
    <w:semiHidden/>
    <w:unhideWhenUsed/>
    <w:qFormat/>
    <w:uiPriority w:val="99"/>
    <w:rPr>
      <w:color w:val="0000FF"/>
      <w:u w:val="single"/>
    </w:rPr>
  </w:style>
  <w:style w:type="paragraph" w:customStyle="1" w:styleId="21">
    <w:name w:val="正文1"/>
    <w:basedOn w:val="1"/>
    <w:next w:val="1"/>
    <w:qFormat/>
    <w:uiPriority w:val="0"/>
    <w:pPr>
      <w:spacing w:before="156" w:line="360" w:lineRule="auto"/>
      <w:ind w:firstLine="668" w:firstLineChars="257"/>
    </w:pPr>
    <w:rPr>
      <w:rFonts w:ascii="宋体" w:hAnsi="宋体" w:eastAsia="宋体" w:cs="Times New Roman"/>
      <w:szCs w:val="24"/>
    </w:rPr>
  </w:style>
  <w:style w:type="paragraph" w:styleId="22">
    <w:name w:val="List Paragraph"/>
    <w:basedOn w:val="1"/>
    <w:qFormat/>
    <w:uiPriority w:val="34"/>
    <w:pPr>
      <w:ind w:firstLine="420" w:firstLineChars="200"/>
    </w:pPr>
  </w:style>
  <w:style w:type="paragraph" w:customStyle="1" w:styleId="23">
    <w:name w:val="表格"/>
    <w:basedOn w:val="1"/>
    <w:qFormat/>
    <w:uiPriority w:val="0"/>
    <w:pPr>
      <w:spacing w:line="300" w:lineRule="auto"/>
      <w:jc w:val="center"/>
    </w:pPr>
    <w:rPr>
      <w:rFonts w:ascii="宋体" w:hAnsi="宋体"/>
      <w:sz w:val="24"/>
      <w:szCs w:val="21"/>
    </w:rPr>
  </w:style>
  <w:style w:type="paragraph" w:customStyle="1" w:styleId="24">
    <w:name w:val="阜康正文"/>
    <w:basedOn w:val="1"/>
    <w:qFormat/>
    <w:uiPriority w:val="0"/>
    <w:pPr>
      <w:spacing w:line="420" w:lineRule="auto"/>
      <w:ind w:firstLine="200" w:firstLineChars="200"/>
    </w:pPr>
    <w:rPr>
      <w:rFonts w:ascii="宋体" w:hAnsi="宋体"/>
      <w:sz w:val="28"/>
      <w:szCs w:val="24"/>
    </w:rPr>
  </w:style>
  <w:style w:type="paragraph" w:customStyle="1" w:styleId="25">
    <w:name w:val="nilo_表头"/>
    <w:basedOn w:val="1"/>
    <w:qFormat/>
    <w:uiPriority w:val="0"/>
    <w:pPr>
      <w:spacing w:beforeLines="50" w:afterLines="50" w:line="300" w:lineRule="auto"/>
      <w:jc w:val="center"/>
      <w:outlineLvl w:val="4"/>
    </w:pPr>
    <w:rPr>
      <w:rFonts w:ascii="Times New Roman" w:hAnsi="Times New Roman" w:eastAsia="宋体" w:cs="Times New Roman"/>
      <w:szCs w:val="21"/>
    </w:rPr>
  </w:style>
  <w:style w:type="paragraph" w:customStyle="1" w:styleId="26">
    <w:name w:val="4"/>
    <w:basedOn w:val="1"/>
    <w:qFormat/>
    <w:uiPriority w:val="0"/>
    <w:pPr>
      <w:keepNext/>
      <w:keepLines/>
      <w:spacing w:before="120" w:after="120"/>
      <w:outlineLvl w:val="3"/>
    </w:pPr>
    <w:rPr>
      <w:rFonts w:ascii="Arial" w:hAnsi="Arial"/>
      <w:b/>
      <w:bCs/>
      <w:sz w:val="30"/>
      <w:szCs w:val="28"/>
    </w:rPr>
  </w:style>
  <w:style w:type="paragraph" w:customStyle="1" w:styleId="27">
    <w:name w:val="WPSOffice手动目录 1"/>
    <w:qFormat/>
    <w:uiPriority w:val="0"/>
    <w:rPr>
      <w:rFonts w:ascii="Times New Roman" w:hAnsi="Times New Roman" w:eastAsia="宋体" w:cs="Times New Roman"/>
      <w:lang w:val="en-US" w:eastAsia="zh-CN" w:bidi="ar-SA"/>
    </w:rPr>
  </w:style>
  <w:style w:type="paragraph" w:customStyle="1" w:styleId="28">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29">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30">
    <w:name w:val="DLP正文"/>
    <w:basedOn w:val="1"/>
    <w:qFormat/>
    <w:uiPriority w:val="0"/>
    <w:pPr>
      <w:snapToGrid w:val="0"/>
      <w:spacing w:line="360" w:lineRule="auto"/>
      <w:ind w:firstLine="473"/>
    </w:pPr>
    <w:rPr>
      <w:rFonts w:ascii="Times New Roman" w:hAnsi="宋体"/>
      <w:sz w:val="24"/>
    </w:rPr>
  </w:style>
  <w:style w:type="paragraph" w:customStyle="1" w:styleId="31">
    <w:name w:val="段"/>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paragraph" w:customStyle="1" w:styleId="32">
    <w:name w:val="+正文"/>
    <w:basedOn w:val="1"/>
    <w:qFormat/>
    <w:uiPriority w:val="0"/>
    <w:pPr>
      <w:spacing w:line="360" w:lineRule="auto"/>
      <w:ind w:firstLine="200" w:firstLineChars="200"/>
    </w:pPr>
    <w:rPr>
      <w:rFonts w:ascii="Times New Roman" w:hAnsi="Times New Roman" w:eastAsia="宋体"/>
      <w:sz w:val="24"/>
      <w:szCs w:val="28"/>
    </w:rPr>
  </w:style>
  <w:style w:type="character" w:customStyle="1" w:styleId="33">
    <w:name w:val="font01"/>
    <w:basedOn w:val="18"/>
    <w:qFormat/>
    <w:uiPriority w:val="0"/>
    <w:rPr>
      <w:rFonts w:ascii="font-weight : 400" w:hAnsi="font-weight : 400" w:eastAsia="font-weight : 400" w:cs="font-weight : 400"/>
      <w:color w:val="000000"/>
      <w:sz w:val="22"/>
      <w:szCs w:val="22"/>
      <w:u w:val="none"/>
    </w:rPr>
  </w:style>
  <w:style w:type="paragraph" w:customStyle="1" w:styleId="34">
    <w:name w:val="p"/>
    <w:basedOn w:val="1"/>
    <w:qFormat/>
    <w:uiPriority w:val="0"/>
    <w:pPr>
      <w:widowControl/>
      <w:spacing w:before="100" w:beforeAutospacing="1" w:after="100" w:afterAutospacing="1"/>
      <w:jc w:val="left"/>
    </w:pPr>
    <w:rPr>
      <w:rFonts w:ascii="宋体" w:hAnsi="宋体" w:eastAsia="宋体" w:cs="宋体"/>
      <w:kern w:val="0"/>
      <w:szCs w:val="24"/>
    </w:rPr>
  </w:style>
  <w:style w:type="paragraph" w:customStyle="1" w:styleId="35">
    <w:name w:val="目次、标准名称标题"/>
    <w:basedOn w:val="1"/>
    <w:next w:val="31"/>
    <w:qFormat/>
    <w:uiPriority w:val="0"/>
    <w:pPr>
      <w:keepNext/>
      <w:pageBreakBefore/>
      <w:widowControl/>
      <w:shd w:val="clear" w:color="FFFFFF" w:fill="FFFFFF"/>
      <w:spacing w:before="640" w:after="560" w:line="460" w:lineRule="exact"/>
      <w:jc w:val="center"/>
      <w:outlineLvl w:val="0"/>
    </w:pPr>
    <w:rPr>
      <w:rFonts w:ascii="黑体" w:eastAsia="黑体"/>
      <w:kern w:val="0"/>
      <w:sz w:val="32"/>
      <w:szCs w:val="20"/>
    </w:rPr>
  </w:style>
  <w:style w:type="paragraph" w:customStyle="1" w:styleId="36">
    <w:name w:val="标准书眉_奇数页"/>
    <w:next w:val="1"/>
    <w:qFormat/>
    <w:uiPriority w:val="0"/>
    <w:pPr>
      <w:tabs>
        <w:tab w:val="center" w:pos="4154"/>
        <w:tab w:val="right" w:pos="8306"/>
      </w:tabs>
      <w:spacing w:after="220"/>
      <w:jc w:val="right"/>
    </w:pPr>
    <w:rPr>
      <w:rFonts w:ascii="黑体" w:hAnsi="Times New Roman" w:eastAsia="黑体" w:cs="Times New Roman"/>
      <w:sz w:val="21"/>
      <w:szCs w:val="21"/>
      <w:lang w:val="en-US" w:eastAsia="zh-CN" w:bidi="ar-SA"/>
    </w:rPr>
  </w:style>
  <w:style w:type="paragraph" w:customStyle="1" w:styleId="37">
    <w:name w:val="标准书脚_奇数页"/>
    <w:qFormat/>
    <w:uiPriority w:val="0"/>
    <w:pPr>
      <w:spacing w:before="120"/>
      <w:ind w:right="198"/>
      <w:jc w:val="right"/>
    </w:pPr>
    <w:rPr>
      <w:rFonts w:ascii="宋体" w:hAnsi="Times New Roman" w:eastAsia="宋体" w:cs="Times New Roman"/>
      <w:sz w:val="18"/>
      <w:szCs w:val="18"/>
      <w:lang w:val="en-US" w:eastAsia="zh-CN" w:bidi="ar-SA"/>
    </w:rPr>
  </w:style>
  <w:style w:type="paragraph" w:customStyle="1" w:styleId="38">
    <w:name w:val="一级条标题"/>
    <w:next w:val="31"/>
    <w:qFormat/>
    <w:uiPriority w:val="0"/>
    <w:pPr>
      <w:numPr>
        <w:ilvl w:val="1"/>
        <w:numId w:val="2"/>
      </w:numPr>
      <w:spacing w:beforeLines="50" w:afterLines="50"/>
      <w:outlineLvl w:val="2"/>
    </w:pPr>
    <w:rPr>
      <w:rFonts w:ascii="黑体" w:hAnsi="Times New Roman" w:eastAsia="黑体" w:cs="Times New Roman"/>
      <w:sz w:val="21"/>
      <w:szCs w:val="21"/>
      <w:lang w:val="en-US" w:eastAsia="zh-CN" w:bidi="ar-SA"/>
    </w:rPr>
  </w:style>
  <w:style w:type="character" w:customStyle="1" w:styleId="39">
    <w:name w:val="font61"/>
    <w:basedOn w:val="18"/>
    <w:qFormat/>
    <w:uiPriority w:val="0"/>
    <w:rPr>
      <w:rFonts w:hint="eastAsia" w:ascii="宋体" w:hAnsi="宋体" w:eastAsia="宋体" w:cs="宋体"/>
      <w:color w:val="000000"/>
      <w:sz w:val="20"/>
      <w:szCs w:val="20"/>
      <w:u w:val="none"/>
      <w:vertAlign w:val="superscript"/>
    </w:rPr>
  </w:style>
  <w:style w:type="character" w:customStyle="1" w:styleId="40">
    <w:name w:val="font71"/>
    <w:basedOn w:val="18"/>
    <w:qFormat/>
    <w:uiPriority w:val="0"/>
    <w:rPr>
      <w:rFonts w:hint="eastAsia" w:ascii="宋体" w:hAnsi="宋体" w:eastAsia="宋体" w:cs="宋体"/>
      <w:color w:val="000000"/>
      <w:sz w:val="20"/>
      <w:szCs w:val="20"/>
      <w:u w:val="none"/>
    </w:rPr>
  </w:style>
  <w:style w:type="character" w:customStyle="1" w:styleId="41">
    <w:name w:val="font21"/>
    <w:basedOn w:val="18"/>
    <w:qFormat/>
    <w:uiPriority w:val="0"/>
    <w:rPr>
      <w:rFonts w:hint="eastAsia" w:ascii="宋体" w:hAnsi="宋体" w:eastAsia="宋体" w:cs="宋体"/>
      <w:color w:val="000000"/>
      <w:sz w:val="20"/>
      <w:szCs w:val="20"/>
      <w:u w:val="none"/>
    </w:rPr>
  </w:style>
  <w:style w:type="character" w:customStyle="1" w:styleId="42">
    <w:name w:val="font11"/>
    <w:basedOn w:val="18"/>
    <w:qFormat/>
    <w:uiPriority w:val="0"/>
    <w:rPr>
      <w:rFonts w:hint="eastAsia" w:ascii="宋体" w:hAnsi="宋体" w:eastAsia="宋体" w:cs="宋体"/>
      <w:color w:val="000000"/>
      <w:sz w:val="20"/>
      <w:szCs w:val="20"/>
      <w:u w:val="none"/>
      <w:vertAlign w:val="superscript"/>
    </w:rPr>
  </w:style>
  <w:style w:type="paragraph" w:customStyle="1" w:styleId="43">
    <w:name w:val="cucd-3"/>
    <w:next w:val="44"/>
    <w:qFormat/>
    <w:uiPriority w:val="0"/>
    <w:pPr>
      <w:spacing w:line="360" w:lineRule="auto"/>
      <w:ind w:firstLine="482" w:firstLineChars="200"/>
      <w:outlineLvl w:val="2"/>
    </w:pPr>
    <w:rPr>
      <w:rFonts w:ascii="Times New Roman" w:hAnsi="Times New Roman" w:eastAsia="宋体" w:cs="Times New Roman"/>
      <w:b/>
      <w:kern w:val="2"/>
      <w:sz w:val="24"/>
      <w:szCs w:val="24"/>
      <w:lang w:val="en-US" w:eastAsia="zh-CN" w:bidi="ar-SA"/>
    </w:rPr>
  </w:style>
  <w:style w:type="paragraph" w:customStyle="1" w:styleId="44">
    <w:name w:val="cucd-4"/>
    <w:next w:val="45"/>
    <w:qFormat/>
    <w:uiPriority w:val="0"/>
    <w:pPr>
      <w:spacing w:line="360" w:lineRule="auto"/>
      <w:ind w:firstLine="482" w:firstLineChars="200"/>
      <w:outlineLvl w:val="3"/>
    </w:pPr>
    <w:rPr>
      <w:rFonts w:ascii="Times New Roman" w:hAnsi="Times New Roman" w:eastAsia="宋体" w:cs="Times New Roman"/>
      <w:b/>
      <w:kern w:val="2"/>
      <w:sz w:val="24"/>
      <w:szCs w:val="24"/>
      <w:lang w:val="en-US" w:eastAsia="zh-CN" w:bidi="ar-SA"/>
    </w:rPr>
  </w:style>
  <w:style w:type="paragraph" w:customStyle="1" w:styleId="45">
    <w:name w:val="cucd-0"/>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character" w:customStyle="1" w:styleId="46">
    <w:name w:val="font31"/>
    <w:basedOn w:val="18"/>
    <w:qFormat/>
    <w:uiPriority w:val="0"/>
    <w:rPr>
      <w:rFonts w:hint="eastAsia" w:ascii="宋体" w:hAnsi="宋体" w:eastAsia="宋体" w:cs="宋体"/>
      <w:color w:val="000000"/>
      <w:sz w:val="24"/>
      <w:szCs w:val="24"/>
      <w:u w:val="none"/>
    </w:rPr>
  </w:style>
  <w:style w:type="character" w:customStyle="1" w:styleId="47">
    <w:name w:val="font41"/>
    <w:basedOn w:val="18"/>
    <w:qFormat/>
    <w:uiPriority w:val="0"/>
    <w:rPr>
      <w:rFonts w:hint="eastAsia" w:ascii="宋体" w:hAnsi="宋体" w:eastAsia="宋体" w:cs="宋体"/>
      <w:color w:val="000000"/>
      <w:sz w:val="24"/>
      <w:szCs w:val="24"/>
      <w:u w:val="none"/>
      <w:vertAlign w:val="superscript"/>
    </w:rPr>
  </w:style>
  <w:style w:type="character" w:customStyle="1" w:styleId="48">
    <w:name w:val="批注框文本 Char"/>
    <w:basedOn w:val="18"/>
    <w:link w:val="10"/>
    <w:semiHidden/>
    <w:qFormat/>
    <w:uiPriority w:val="99"/>
    <w:rPr>
      <w:rFonts w:asciiTheme="minorHAnsi" w:hAnsiTheme="minorHAnsi" w:eastAsiaTheme="minorEastAsia" w:cstheme="minorBidi"/>
      <w:kern w:val="2"/>
      <w:sz w:val="18"/>
      <w:szCs w:val="18"/>
    </w:rPr>
  </w:style>
  <w:style w:type="paragraph" w:customStyle="1" w:styleId="49">
    <w:name w:val="TOC 标题1"/>
    <w:basedOn w:val="3"/>
    <w:next w:val="1"/>
    <w:semiHidden/>
    <w:unhideWhenUsed/>
    <w:qFormat/>
    <w:uiPriority w:val="39"/>
    <w:pPr>
      <w:widowControl/>
      <w:spacing w:before="480" w:line="276" w:lineRule="auto"/>
      <w:jc w:val="left"/>
      <w:outlineLvl w:val="9"/>
    </w:pPr>
    <w:rPr>
      <w:rFonts w:asciiTheme="majorHAnsi" w:hAnsiTheme="majorHAnsi" w:eastAsiaTheme="majorEastAsia" w:cstheme="majorBidi"/>
      <w:bCs/>
      <w:color w:val="2F5496" w:themeColor="accent1" w:themeShade="BF"/>
      <w:kern w:val="0"/>
      <w:sz w:val="28"/>
      <w:szCs w:val="28"/>
    </w:r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1.xml"/><Relationship Id="rId98" Type="http://schemas.openxmlformats.org/officeDocument/2006/relationships/image" Target="media/image81.png"/><Relationship Id="rId97" Type="http://schemas.openxmlformats.org/officeDocument/2006/relationships/image" Target="media/image80.png"/><Relationship Id="rId96" Type="http://schemas.openxmlformats.org/officeDocument/2006/relationships/image" Target="media/image79.jpeg"/><Relationship Id="rId95" Type="http://schemas.openxmlformats.org/officeDocument/2006/relationships/image" Target="media/image78.jpeg"/><Relationship Id="rId94" Type="http://schemas.openxmlformats.org/officeDocument/2006/relationships/image" Target="media/image77.png"/><Relationship Id="rId93" Type="http://schemas.openxmlformats.org/officeDocument/2006/relationships/image" Target="media/image76.jpe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jpeg"/><Relationship Id="rId9" Type="http://schemas.openxmlformats.org/officeDocument/2006/relationships/footer" Target="footer5.xml"/><Relationship Id="rId89" Type="http://schemas.openxmlformats.org/officeDocument/2006/relationships/image" Target="media/image72.jpeg"/><Relationship Id="rId88" Type="http://schemas.openxmlformats.org/officeDocument/2006/relationships/image" Target="media/image71.jpeg"/><Relationship Id="rId87" Type="http://schemas.openxmlformats.org/officeDocument/2006/relationships/image" Target="media/image70.jpe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header" Target="header2.xml"/><Relationship Id="rId79" Type="http://schemas.openxmlformats.org/officeDocument/2006/relationships/image" Target="media/image62.png"/><Relationship Id="rId78" Type="http://schemas.openxmlformats.org/officeDocument/2006/relationships/image" Target="media/image61.jpe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jpeg"/><Relationship Id="rId73" Type="http://schemas.openxmlformats.org/officeDocument/2006/relationships/image" Target="media/image56.jpe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footer" Target="footer4.xml"/><Relationship Id="rId69" Type="http://schemas.openxmlformats.org/officeDocument/2006/relationships/image" Target="media/image52.png"/><Relationship Id="rId68" Type="http://schemas.openxmlformats.org/officeDocument/2006/relationships/image" Target="media/image51.jpeg"/><Relationship Id="rId67" Type="http://schemas.openxmlformats.org/officeDocument/2006/relationships/image" Target="media/image50.jpeg"/><Relationship Id="rId66" Type="http://schemas.openxmlformats.org/officeDocument/2006/relationships/image" Target="media/image49.pn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jpeg"/><Relationship Id="rId6" Type="http://schemas.openxmlformats.org/officeDocument/2006/relationships/footer" Target="footer3.xml"/><Relationship Id="rId59" Type="http://schemas.openxmlformats.org/officeDocument/2006/relationships/image" Target="media/image42.png"/><Relationship Id="rId58" Type="http://schemas.openxmlformats.org/officeDocument/2006/relationships/image" Target="media/image41.jpe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er" Target="footer2.xml"/><Relationship Id="rId49" Type="http://schemas.openxmlformats.org/officeDocument/2006/relationships/image" Target="media/image32.jpe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footer" Target="footer1.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png"/><Relationship Id="rId36" Type="http://schemas.openxmlformats.org/officeDocument/2006/relationships/image" Target="media/image19.GIF"/><Relationship Id="rId35" Type="http://schemas.openxmlformats.org/officeDocument/2006/relationships/image" Target="media/image18.jpeg"/><Relationship Id="rId34" Type="http://schemas.openxmlformats.org/officeDocument/2006/relationships/image" Target="media/image17.png"/><Relationship Id="rId33" Type="http://schemas.openxmlformats.org/officeDocument/2006/relationships/image" Target="media/image16.jpe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wmf"/><Relationship Id="rId3" Type="http://schemas.openxmlformats.org/officeDocument/2006/relationships/header" Target="header1.xml"/><Relationship Id="rId29" Type="http://schemas.openxmlformats.org/officeDocument/2006/relationships/oleObject" Target="embeddings/oleObject5.bin"/><Relationship Id="rId28" Type="http://schemas.openxmlformats.org/officeDocument/2006/relationships/image" Target="media/image12.wmf"/><Relationship Id="rId27" Type="http://schemas.openxmlformats.org/officeDocument/2006/relationships/image" Target="media/image11.wmf"/><Relationship Id="rId26" Type="http://schemas.openxmlformats.org/officeDocument/2006/relationships/image" Target="media/image10.wmf"/><Relationship Id="rId25" Type="http://schemas.openxmlformats.org/officeDocument/2006/relationships/image" Target="media/image9.wmf"/><Relationship Id="rId24" Type="http://schemas.openxmlformats.org/officeDocument/2006/relationships/oleObject" Target="embeddings/oleObject4.bin"/><Relationship Id="rId23" Type="http://schemas.openxmlformats.org/officeDocument/2006/relationships/image" Target="media/image8.wmf"/><Relationship Id="rId22" Type="http://schemas.openxmlformats.org/officeDocument/2006/relationships/oleObject" Target="embeddings/oleObject3.bin"/><Relationship Id="rId21" Type="http://schemas.openxmlformats.org/officeDocument/2006/relationships/image" Target="media/image7.wmf"/><Relationship Id="rId20" Type="http://schemas.openxmlformats.org/officeDocument/2006/relationships/image" Target="media/image6.wmf"/><Relationship Id="rId2" Type="http://schemas.openxmlformats.org/officeDocument/2006/relationships/settings" Target="settings.xml"/><Relationship Id="rId19" Type="http://schemas.openxmlformats.org/officeDocument/2006/relationships/image" Target="media/image5.wmf"/><Relationship Id="rId18" Type="http://schemas.openxmlformats.org/officeDocument/2006/relationships/image" Target="media/image4.wmf"/><Relationship Id="rId17" Type="http://schemas.openxmlformats.org/officeDocument/2006/relationships/image" Target="media/image3.wmf"/><Relationship Id="rId16" Type="http://schemas.openxmlformats.org/officeDocument/2006/relationships/image" Target="media/image2.wmf"/><Relationship Id="rId15" Type="http://schemas.openxmlformats.org/officeDocument/2006/relationships/oleObject" Target="embeddings/oleObject2.bin"/><Relationship Id="rId14" Type="http://schemas.openxmlformats.org/officeDocument/2006/relationships/image" Target="media/image1.wmf"/><Relationship Id="rId13" Type="http://schemas.openxmlformats.org/officeDocument/2006/relationships/oleObject" Target="embeddings/oleObject1.bin"/><Relationship Id="rId12" Type="http://schemas.openxmlformats.org/officeDocument/2006/relationships/theme" Target="theme/theme1.xml"/><Relationship Id="rId11" Type="http://schemas.openxmlformats.org/officeDocument/2006/relationships/header" Target="header4.xml"/><Relationship Id="rId102" Type="http://schemas.openxmlformats.org/officeDocument/2006/relationships/fontTable" Target="fontTable.xml"/><Relationship Id="rId101" Type="http://schemas.openxmlformats.org/officeDocument/2006/relationships/customXml" Target="../customXml/item2.xml"/><Relationship Id="rId100" Type="http://schemas.openxmlformats.org/officeDocument/2006/relationships/numbering" Target="numbering.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2053"/>
    <customShpInfo spid="_x0000_s2052"/>
    <customShpInfo spid="_x0000_s2051"/>
    <customShpInfo spid="_x0000_s2050"/>
    <customShpInfo spid="_x0000_s2049"/>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5596223-CF0D-460A-98B0-F85B652CD3A5}">
  <ds:schemaRefs/>
</ds:datastoreItem>
</file>

<file path=docProps/app.xml><?xml version="1.0" encoding="utf-8"?>
<Properties xmlns="http://schemas.openxmlformats.org/officeDocument/2006/extended-properties" xmlns:vt="http://schemas.openxmlformats.org/officeDocument/2006/docPropsVTypes">
  <Template>Normal</Template>
  <Pages>168</Pages>
  <Words>10186</Words>
  <Characters>58063</Characters>
  <Lines>483</Lines>
  <Paragraphs>136</Paragraphs>
  <TotalTime>81</TotalTime>
  <ScaleCrop>false</ScaleCrop>
  <LinksUpToDate>false</LinksUpToDate>
  <CharactersWithSpaces>68113</CharactersWithSpaces>
  <Application>WPS Office_11.1.0.9564_F1E327BC-269C-435d-A152-05C5408002CA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2019-08-26T02:43:00Z</dcterms:created>
  <dc:creator>Admin</dc:creator>
  <cp:lastModifiedBy>qzuser</cp:lastModifiedBy>
  <cp:lastPrinted>2019-07-04T08:29:00Z</cp:lastPrinted>
  <dcterms:modified xsi:type="dcterms:W3CDTF">2020-03-11T01:19:50Z</dcterms:modified>
  <cp:revision>46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2052-11.1.0.9564</vt:lpwstr>
  </property>
</Properties>
</file>