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2D" w:rsidRDefault="005C0B2D" w:rsidP="005C0B2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5C0B2D" w:rsidRDefault="005C0B2D" w:rsidP="005C0B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2022年7月“两客一危”企业动态监控月度考核情况明细表（客运企业）</w:t>
      </w:r>
    </w:p>
    <w:tbl>
      <w:tblPr>
        <w:tblpPr w:leftFromText="180" w:rightFromText="180" w:vertAnchor="text" w:horzAnchor="page" w:tblpX="618" w:tblpY="613"/>
        <w:tblOverlap w:val="never"/>
        <w:tblW w:w="15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"/>
        <w:gridCol w:w="905"/>
        <w:gridCol w:w="344"/>
        <w:gridCol w:w="507"/>
        <w:gridCol w:w="483"/>
        <w:gridCol w:w="925"/>
        <w:gridCol w:w="870"/>
        <w:gridCol w:w="1042"/>
        <w:gridCol w:w="992"/>
        <w:gridCol w:w="567"/>
        <w:gridCol w:w="425"/>
        <w:gridCol w:w="469"/>
        <w:gridCol w:w="735"/>
        <w:gridCol w:w="735"/>
        <w:gridCol w:w="480"/>
        <w:gridCol w:w="700"/>
        <w:gridCol w:w="850"/>
        <w:gridCol w:w="709"/>
        <w:gridCol w:w="456"/>
        <w:gridCol w:w="630"/>
        <w:gridCol w:w="630"/>
        <w:gridCol w:w="694"/>
        <w:gridCol w:w="567"/>
        <w:gridCol w:w="659"/>
      </w:tblGrid>
      <w:tr w:rsidR="005C0B2D" w:rsidTr="00C77E2C">
        <w:trPr>
          <w:trHeight w:val="42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  名称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考核 结果</w:t>
            </w:r>
          </w:p>
        </w:tc>
      </w:tr>
      <w:tr w:rsidR="005C0B2D" w:rsidTr="00C77E2C">
        <w:trPr>
          <w:trHeight w:val="1260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     （5分）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上线率（20分）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客运车辆凌晨2点至5点违规运行（5分）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5C0B2D" w:rsidTr="00C77E2C">
        <w:trPr>
          <w:trHeight w:val="1105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时长(分钟)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 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5C0B2D" w:rsidTr="00C77E2C">
        <w:trPr>
          <w:trHeight w:val="148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酒钢（集团）宏运旅游客运有限责任公司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99.35%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(19.87)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99.86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74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嘉峪关市城市公共交通有限责任公司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74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嘉峪关众晟泰达旅游客运有限公司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99.71%  (19.94)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Pr="00EB7745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04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嘉峪关悦盛旅游客运有限责任公司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65.00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13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99.98%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99.99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07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嘉峪关市嘉之旅旅游客运有限公司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97.82%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(19.56)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99.55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08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嘉峪关市汽车运输有限责任公司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99.78%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64.96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110.55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20.00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84.96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70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嘉峪关市珺泰客运有限责任公司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98.55%  (19.71)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99.97%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14.99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34.98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99.68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410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嘉峪关白牦牛旅游客运有限责任公司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98.98%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(19.8)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 (19.99)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64.79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34.9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540"/>
        </w:trPr>
        <w:tc>
          <w:tcPr>
            <w:tcW w:w="15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B2D" w:rsidRDefault="005C0B2D" w:rsidP="00C77E2C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5C0B2D" w:rsidRDefault="005C0B2D" w:rsidP="00C77E2C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5C0B2D" w:rsidRDefault="005C0B2D" w:rsidP="00C77E2C">
            <w:pPr>
              <w:widowControl/>
              <w:ind w:leftChars="185" w:left="588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；存在1次及以上凌晨2点至5点违规运行行为不得分。</w:t>
            </w:r>
          </w:p>
          <w:p w:rsidR="005C0B2D" w:rsidRDefault="005C0B2D" w:rsidP="00C77E2C">
            <w:pPr>
              <w:widowControl/>
              <w:ind w:leftChars="185" w:left="388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5C0B2D" w:rsidRDefault="005C0B2D" w:rsidP="005C0B2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C0B2D" w:rsidRDefault="005C0B2D" w:rsidP="005C0B2D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5C0B2D" w:rsidSect="00C257CC">
          <w:pgSz w:w="16838" w:h="11906" w:orient="landscape"/>
          <w:pgMar w:top="1587" w:right="1984" w:bottom="1474" w:left="1871" w:header="851" w:footer="992" w:gutter="0"/>
          <w:pgNumType w:fmt="numberInDash"/>
          <w:cols w:space="0"/>
          <w:docGrid w:type="lines" w:linePitch="315"/>
        </w:sect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C0B2D" w:rsidRDefault="005C0B2D" w:rsidP="005C0B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2022年7月“两客一危”企业动态监控月度考核情况明细表（危货企业）</w:t>
      </w:r>
    </w:p>
    <w:tbl>
      <w:tblPr>
        <w:tblpPr w:leftFromText="180" w:rightFromText="180" w:vertAnchor="text" w:horzAnchor="page" w:tblpX="918" w:tblpY="709"/>
        <w:tblOverlap w:val="never"/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281"/>
        <w:gridCol w:w="426"/>
        <w:gridCol w:w="283"/>
        <w:gridCol w:w="345"/>
        <w:gridCol w:w="885"/>
        <w:gridCol w:w="1055"/>
        <w:gridCol w:w="1065"/>
        <w:gridCol w:w="1000"/>
        <w:gridCol w:w="825"/>
        <w:gridCol w:w="375"/>
        <w:gridCol w:w="390"/>
        <w:gridCol w:w="720"/>
        <w:gridCol w:w="870"/>
        <w:gridCol w:w="408"/>
        <w:gridCol w:w="837"/>
        <w:gridCol w:w="930"/>
        <w:gridCol w:w="780"/>
        <w:gridCol w:w="713"/>
        <w:gridCol w:w="709"/>
        <w:gridCol w:w="709"/>
      </w:tblGrid>
      <w:tr w:rsidR="005C0B2D" w:rsidTr="00C77E2C">
        <w:trPr>
          <w:trHeight w:val="42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  考核   结果</w:t>
            </w:r>
          </w:p>
        </w:tc>
      </w:tr>
      <w:tr w:rsidR="005C0B2D" w:rsidTr="00C77E2C">
        <w:trPr>
          <w:trHeight w:val="4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（5分）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  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5C0B2D" w:rsidTr="00C77E2C">
        <w:trPr>
          <w:trHeight w:val="11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(分钟)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5C0B2D" w:rsidTr="00C77E2C">
        <w:trPr>
          <w:trHeight w:val="1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嘉峪关市众鑫乙炔气厂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嘉峪关市恒信商贸有限责任公司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96.45%</w:t>
            </w:r>
          </w:p>
          <w:p w:rsidR="005C0B2D" w:rsidRPr="00C72CFE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（19.29）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69.29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嘉峪关市驰远商贸有限责任公司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99.66%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29.99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9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Pr="000C1F76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 w:rsidRPr="000C1F76">
              <w:rPr>
                <w:rFonts w:ascii="宋体" w:hAnsi="宋体" w:cs="宋体" w:hint="eastAsia"/>
                <w:kern w:val="0"/>
                <w:sz w:val="20"/>
              </w:rPr>
              <w:t>嘉峪关晟安达运输有限公司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Pr="000C1F76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99.94%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1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嘉峪关市兴化储科教设备有限责任公司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94.72%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99.44%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（19.89）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49.89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29.96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78.85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不合格</w:t>
            </w:r>
          </w:p>
        </w:tc>
      </w:tr>
      <w:tr w:rsidR="005C0B2D" w:rsidTr="00C77E2C">
        <w:trPr>
          <w:trHeight w:val="12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嘉峪关安顺凯达运输有限责任公司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99.75%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（19.95）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141.37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84.94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>合格</w:t>
            </w:r>
          </w:p>
        </w:tc>
      </w:tr>
      <w:tr w:rsidR="005C0B2D" w:rsidTr="00C77E2C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甘肃酒钢集团宏兴钢铁股份有限公司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69.99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15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嘉峪关元天运输有限责任公司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97.84%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57）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99.99%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69.56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0.022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14.98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29.98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3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嘉峪关爱国兴业气体有限责任公司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92.92%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80.00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39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嘉峪关刘氏泰和环保有限公司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97.6%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（19.52）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69.52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9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嘉峪关市达业运输有限公司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99.5%   （19.9）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1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嘉峪关市双辉工贸有限责任公司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99.26%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（19.95）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09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嘉峪关大友嘉顺物流有限公司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99.4%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（19.88）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69.88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1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嘉峪关顺飞能源有限公司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69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.98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068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嘉峪关市奥宇气体有限公司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92.92%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50.00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1069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A60C82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嘉峪关市蜀振商贸有限公司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99.86%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（19.97）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9%</w:t>
            </w:r>
          </w:p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>99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69.96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合格</w:t>
            </w:r>
          </w:p>
        </w:tc>
      </w:tr>
      <w:tr w:rsidR="005C0B2D" w:rsidTr="00C77E2C">
        <w:trPr>
          <w:trHeight w:val="2320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B2D" w:rsidRDefault="005C0B2D" w:rsidP="00C77E2C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5C0B2D" w:rsidRDefault="005C0B2D" w:rsidP="00C77E2C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5C0B2D" w:rsidRDefault="005C0B2D" w:rsidP="00C77E2C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。</w:t>
            </w:r>
          </w:p>
          <w:p w:rsidR="005C0B2D" w:rsidRDefault="005C0B2D" w:rsidP="00C77E2C">
            <w:pPr>
              <w:widowControl/>
              <w:ind w:leftChars="190" w:left="399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5C0B2D" w:rsidRDefault="005C0B2D" w:rsidP="005C0B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5C0B2D" w:rsidRDefault="005C0B2D" w:rsidP="005C0B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2022年7月社会化服务商月度考核情况明细表</w:t>
      </w:r>
    </w:p>
    <w:tbl>
      <w:tblPr>
        <w:tblpPr w:leftFromText="180" w:rightFromText="180" w:vertAnchor="text" w:tblpY="1"/>
        <w:tblOverlap w:val="never"/>
        <w:tblW w:w="132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2037"/>
        <w:gridCol w:w="708"/>
        <w:gridCol w:w="615"/>
        <w:gridCol w:w="570"/>
        <w:gridCol w:w="960"/>
        <w:gridCol w:w="1200"/>
        <w:gridCol w:w="1321"/>
        <w:gridCol w:w="1186"/>
        <w:gridCol w:w="979"/>
        <w:gridCol w:w="1200"/>
        <w:gridCol w:w="636"/>
        <w:gridCol w:w="1314"/>
      </w:tblGrid>
      <w:tr w:rsidR="005C0B2D" w:rsidTr="00C77E2C">
        <w:trPr>
          <w:trHeight w:val="60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服务商平台名称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考评指标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本月考      核结果</w:t>
            </w:r>
          </w:p>
        </w:tc>
      </w:tr>
      <w:tr w:rsidR="005C0B2D" w:rsidTr="00C77E2C">
        <w:trPr>
          <w:trHeight w:val="6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上线率（10分）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平台连通率（20分）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轨迹完整率（25分）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数据合格率（25分）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卫星定位漂移车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得分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5C0B2D" w:rsidTr="00C77E2C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车辆数（辆）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2"/>
                <w:szCs w:val="22"/>
              </w:rPr>
              <w:t>比率     （20分）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5C0B2D" w:rsidTr="00C77E2C">
        <w:trPr>
          <w:trHeight w:val="8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中交兴路运营平台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98.73%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（24.68）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99.97% 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0.72%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(19.86)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5C0B2D" w:rsidTr="00C77E2C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中煤领航导航定位服务平台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97.34%  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（24.34）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99.99%  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9.72%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(18.05)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97.38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5C0B2D" w:rsidTr="00C77E2C">
        <w:trPr>
          <w:trHeight w:val="6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99.96%     （24.99）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99.99%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99.98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5C0B2D" w:rsidTr="00C77E2C">
        <w:trPr>
          <w:trHeight w:val="8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一通中寰车联网综合监控平台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100%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99.71%    (24.93)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100%   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（25）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0%</w:t>
            </w:r>
          </w:p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99.93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0B2D" w:rsidRDefault="005C0B2D" w:rsidP="00C77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合格</w:t>
            </w:r>
          </w:p>
        </w:tc>
      </w:tr>
      <w:tr w:rsidR="005C0B2D" w:rsidTr="00C77E2C">
        <w:trPr>
          <w:trHeight w:val="960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B2D" w:rsidRDefault="005C0B2D" w:rsidP="00C77E2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注：1.考评指标得分按照甘肃省重点营运车辆监管系统月度考核结果计算，上线率低于100%不得分、平台联通率低于95%不得分、轨迹完整率低于95%  </w:t>
            </w:r>
          </w:p>
          <w:p w:rsidR="005C0B2D" w:rsidRDefault="005C0B2D" w:rsidP="00C77E2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不得分、数据合格率低于95%不得分、卫星定位漂移车辆率高于30%不得分。</w:t>
            </w:r>
          </w:p>
          <w:p w:rsidR="005C0B2D" w:rsidRDefault="005C0B2D" w:rsidP="00C77E2C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0B2D" w:rsidRDefault="005C0B2D" w:rsidP="005C0B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textWrapping" w:clear="all"/>
      </w:r>
    </w:p>
    <w:p w:rsidR="005C0B2D" w:rsidRDefault="005C0B2D" w:rsidP="005C0B2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E2992" w:rsidRPr="009831AA" w:rsidRDefault="001E2992" w:rsidP="009831AA">
      <w:pPr>
        <w:spacing w:line="560" w:lineRule="exact"/>
        <w:jc w:val="left"/>
        <w:rPr>
          <w:szCs w:val="32"/>
        </w:rPr>
      </w:pPr>
    </w:p>
    <w:sectPr w:rsidR="001E2992" w:rsidRPr="009831AA" w:rsidSect="009831AA">
      <w:pgSz w:w="16838" w:h="11906" w:orient="landscape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FE" w:rsidRDefault="00063EFE" w:rsidP="00AC2925">
      <w:r>
        <w:separator/>
      </w:r>
    </w:p>
  </w:endnote>
  <w:endnote w:type="continuationSeparator" w:id="0">
    <w:p w:rsidR="00063EFE" w:rsidRDefault="00063EFE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FE" w:rsidRDefault="00063EFE" w:rsidP="00AC2925">
      <w:r>
        <w:separator/>
      </w:r>
    </w:p>
  </w:footnote>
  <w:footnote w:type="continuationSeparator" w:id="0">
    <w:p w:rsidR="00063EFE" w:rsidRDefault="00063EFE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8375E"/>
    <w:rsid w:val="00387345"/>
    <w:rsid w:val="004B47F1"/>
    <w:rsid w:val="004B70B5"/>
    <w:rsid w:val="004D0E3C"/>
    <w:rsid w:val="004D2B6E"/>
    <w:rsid w:val="004E323B"/>
    <w:rsid w:val="005C0B2D"/>
    <w:rsid w:val="005F3B41"/>
    <w:rsid w:val="00662C7A"/>
    <w:rsid w:val="006F2C8C"/>
    <w:rsid w:val="00824DEE"/>
    <w:rsid w:val="008E68F4"/>
    <w:rsid w:val="009132E3"/>
    <w:rsid w:val="00914242"/>
    <w:rsid w:val="009831AA"/>
    <w:rsid w:val="009E7B05"/>
    <w:rsid w:val="00AB5D27"/>
    <w:rsid w:val="00AC2925"/>
    <w:rsid w:val="00BA1650"/>
    <w:rsid w:val="00C150C7"/>
    <w:rsid w:val="00C15CCC"/>
    <w:rsid w:val="00D25A3D"/>
    <w:rsid w:val="00D82439"/>
    <w:rsid w:val="00DA2046"/>
    <w:rsid w:val="00DA68D0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882</Words>
  <Characters>5031</Characters>
  <Application>Microsoft Office Word</Application>
  <DocSecurity>0</DocSecurity>
  <Lines>41</Lines>
  <Paragraphs>11</Paragraphs>
  <ScaleCrop>false</ScaleCrop>
  <Company>DoubleOX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2021-11-25T06:47:00Z</dcterms:created>
  <dcterms:modified xsi:type="dcterms:W3CDTF">2022-08-29T02:40:00Z</dcterms:modified>
</cp:coreProperties>
</file>