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" w:tblpY="267"/>
        <w:tblOverlap w:val="never"/>
        <w:tblW w:w="15286" w:type="dxa"/>
        <w:tblLayout w:type="fixed"/>
        <w:tblLook w:val="0000"/>
      </w:tblPr>
      <w:tblGrid>
        <w:gridCol w:w="436"/>
        <w:gridCol w:w="878"/>
        <w:gridCol w:w="483"/>
        <w:gridCol w:w="465"/>
        <w:gridCol w:w="436"/>
        <w:gridCol w:w="926"/>
        <w:gridCol w:w="765"/>
        <w:gridCol w:w="930"/>
        <w:gridCol w:w="1020"/>
        <w:gridCol w:w="741"/>
        <w:gridCol w:w="436"/>
        <w:gridCol w:w="465"/>
        <w:gridCol w:w="855"/>
        <w:gridCol w:w="436"/>
        <w:gridCol w:w="675"/>
        <w:gridCol w:w="525"/>
        <w:gridCol w:w="780"/>
        <w:gridCol w:w="436"/>
        <w:gridCol w:w="436"/>
        <w:gridCol w:w="741"/>
        <w:gridCol w:w="750"/>
        <w:gridCol w:w="855"/>
        <w:gridCol w:w="816"/>
      </w:tblGrid>
      <w:tr w:rsidR="008C7348" w:rsidTr="00EA75BF">
        <w:trPr>
          <w:trHeight w:val="540"/>
        </w:trPr>
        <w:tc>
          <w:tcPr>
            <w:tcW w:w="1528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348" w:rsidRPr="009361C6" w:rsidRDefault="008C7348" w:rsidP="00EA75BF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2022年11月份我市重点营运车辆动态监控工作情况明细表（客运企业）</w:t>
            </w:r>
          </w:p>
        </w:tc>
      </w:tr>
      <w:tr w:rsidR="008C7348" w:rsidTr="00EA75BF">
        <w:trPr>
          <w:trHeight w:val="27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企业名称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基本情况</w:t>
            </w: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技术指标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管理指标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综合    得分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本月考核结果</w:t>
            </w:r>
          </w:p>
        </w:tc>
      </w:tr>
      <w:tr w:rsidR="008C7348" w:rsidTr="00EA75BF">
        <w:trPr>
          <w:trHeight w:val="27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车辆总数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入网车辆数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上线车辆数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入网率   （5分）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上线率（20分）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轨迹完整率（20分）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数据合格率（20分）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超速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（15分）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疲劳驾驶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（15分）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客运车辆凌晨2点至5点违规运行（5分）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8C7348" w:rsidTr="00EA75BF">
        <w:trPr>
          <w:trHeight w:val="9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时长(分钟)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计分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8C7348" w:rsidTr="00EA75BF">
        <w:trPr>
          <w:trHeight w:val="13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99.99%（20）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0.00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95.00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嘉峪关众晟泰达旅游客运有限公司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100.00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嘉峪关九洲旅游客运有限责任公司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91.43%（0）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45.00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嘉峪关市汽车运输有限责任公司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80%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45.00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泰客运有限责任公司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86.96%（0）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99.93%（19.99）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44.99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79.99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嘉峪关市城市公共交通有限责任公司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75%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（0）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45.00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嘉峪关悦盛旅游客运有限责任公司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66.67%（0）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45.00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嘉峪关白牦牛旅游客运有限责任公司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99.99%（20）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100.00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嘉峪关市嘉之旅旅游客运有限责任公司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99.79%（19.96）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64.96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35.00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99.96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2060"/>
        </w:trPr>
        <w:tc>
          <w:tcPr>
            <w:tcW w:w="1528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8" w:rsidRDefault="008C7348" w:rsidP="00EA75BF">
            <w:pPr>
              <w:widowControl/>
              <w:ind w:left="600" w:hangingChars="300" w:hanging="6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注：1.技术指标得分按照甘肃省重点营运车辆监管系统月度考核结果计算，入网率低于100%不得分、上线率低于100%不得分、轨迹完整率低于95%不得分、数据 合格率低于95%不得分。</w:t>
            </w:r>
          </w:p>
          <w:p w:rsidR="008C7348" w:rsidRDefault="008C7348" w:rsidP="00EA75BF">
            <w:pPr>
              <w:widowControl/>
              <w:ind w:leftChars="90" w:left="189" w:firstLineChars="100" w:firstLine="2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2.管理指标得分按照超速、疲劳驾驶、疑似客运车辆夜间行驶次数扣分计算。超速计分=15-超速平均量，超速平均量=统计期间超速总次数/（重点营运上线车辆数*统计</w:t>
            </w:r>
          </w:p>
          <w:p w:rsidR="008C7348" w:rsidRDefault="008C7348" w:rsidP="00EA75BF">
            <w:pPr>
              <w:widowControl/>
              <w:ind w:leftChars="90" w:left="189" w:firstLineChars="200" w:firstLine="4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天数），超速平均量高于0.1不得分；疲劳驾驶计分=15-疲劳驾驶平均量，疲劳驾驶平均量=统计期间疲劳驾驶总时长/（重点营运上线车辆数*统计天数），疲劳驾驶</w:t>
            </w:r>
          </w:p>
          <w:p w:rsidR="008C7348" w:rsidRDefault="008C7348" w:rsidP="00EA75BF">
            <w:pPr>
              <w:widowControl/>
              <w:ind w:leftChars="90" w:left="189" w:firstLineChars="200" w:firstLine="4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平均量高于0.2不得分；存在1次及以上凌晨2点至5点违规运行行为不得分。</w:t>
            </w:r>
          </w:p>
          <w:p w:rsidR="008C7348" w:rsidRDefault="008C7348" w:rsidP="00EA75BF">
            <w:pPr>
              <w:widowControl/>
              <w:ind w:leftChars="185" w:left="388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tbl>
      <w:tblPr>
        <w:tblW w:w="14649" w:type="dxa"/>
        <w:tblInd w:w="93" w:type="dxa"/>
        <w:tblLayout w:type="fixed"/>
        <w:tblLook w:val="0000"/>
      </w:tblPr>
      <w:tblGrid>
        <w:gridCol w:w="436"/>
        <w:gridCol w:w="1072"/>
        <w:gridCol w:w="541"/>
        <w:gridCol w:w="689"/>
        <w:gridCol w:w="526"/>
        <w:gridCol w:w="855"/>
        <w:gridCol w:w="825"/>
        <w:gridCol w:w="1065"/>
        <w:gridCol w:w="1005"/>
        <w:gridCol w:w="765"/>
        <w:gridCol w:w="509"/>
        <w:gridCol w:w="516"/>
        <w:gridCol w:w="870"/>
        <w:gridCol w:w="436"/>
        <w:gridCol w:w="795"/>
        <w:gridCol w:w="495"/>
        <w:gridCol w:w="759"/>
        <w:gridCol w:w="930"/>
        <w:gridCol w:w="780"/>
        <w:gridCol w:w="780"/>
      </w:tblGrid>
      <w:tr w:rsidR="008C7348" w:rsidTr="00EA75BF">
        <w:trPr>
          <w:trHeight w:val="870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348" w:rsidRDefault="008C7348" w:rsidP="00EA75BF">
            <w:pPr>
              <w:widowControl/>
              <w:spacing w:line="640" w:lineRule="exac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2022年11月份我市重点营运车辆动态监控工作情况明细表</w:t>
            </w:r>
          </w:p>
          <w:p w:rsidR="008C7348" w:rsidRDefault="008C7348" w:rsidP="00EA75BF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（危货运输企业）</w:t>
            </w:r>
          </w:p>
        </w:tc>
      </w:tr>
      <w:tr w:rsidR="008C7348" w:rsidTr="00EA75BF">
        <w:trPr>
          <w:trHeight w:val="65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企业名称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基本情况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技术指标</w:t>
            </w:r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管理指标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综合    得分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本月考核结果</w:t>
            </w:r>
          </w:p>
        </w:tc>
      </w:tr>
      <w:tr w:rsidR="008C7348" w:rsidTr="00EA75BF">
        <w:trPr>
          <w:trHeight w:val="27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车辆总数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入网车辆数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上线车辆数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入网率   （5分）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上线率</w:t>
            </w:r>
          </w:p>
          <w:p w:rsidR="008C7348" w:rsidRDefault="008C7348" w:rsidP="00EA75BF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轨迹完整率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（20分）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数据合格率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（20分）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超速（15分）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疲劳驾驶（15分）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8C7348" w:rsidTr="00EA75BF">
        <w:trPr>
          <w:trHeight w:val="98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时长(分钟)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计分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嘉峪关大友嘉顺物流有限公司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99.43%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（19.89）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69.89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99.86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嘉峪关市恒信商贸有限责任公司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91.65%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（0）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0.00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65.00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嘉峪关市众鑫乙炔气厂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14.99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99.99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嘉峪关市驰远商贸有限责任公司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99.04%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（19.81）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69.81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99.81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86.59%（0）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95.04%（19.01）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69.01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14.96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98.97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甘肃酒钢集团宏兴钢铁股份有限公司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96%（19.20）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嘉峪关刘氏泰和环保有限公司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99.37%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（19.87）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69.87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99.87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98.62%（19.72）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93.56%（0）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87.78%（0）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50.00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16.56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14.98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99.35%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（19.87）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69.87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99.81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嘉峪关市兴化储科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教设备有限责任公司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lastRenderedPageBreak/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（20）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0.00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85.00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（5）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99.44%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（19.89）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69.89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14.99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99.88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98.13%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（19.63）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69.63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14.98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29.98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99.61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7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嘉峪关市蜀振商贸有限公司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（5）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（25）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100%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（20）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70.00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15.00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30.00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 xml:space="preserve">100.00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2200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8" w:rsidRDefault="008C7348" w:rsidP="00EA75BF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注：1.技术指标得分按照甘肃省重点营运车辆监管系统月度考核结果计算，入网率低于100%不得分、上线率低于100%不得分、轨迹完整率低于95%不得分、数据合格</w:t>
            </w:r>
          </w:p>
          <w:p w:rsidR="008C7348" w:rsidRDefault="008C7348" w:rsidP="00EA75BF">
            <w:pPr>
              <w:widowControl/>
              <w:ind w:leftChars="190" w:left="399" w:firstLineChars="100" w:firstLine="2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率低于95%不得分。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br/>
              <w:t>2.管理指标得分按照超速、疲劳驾驶、疑似客运车辆夜间行驶次数扣分计算。超速计分=15-超速平均量，超速平均量=统计期间超速总次数/（重点营运上线车辆</w:t>
            </w:r>
          </w:p>
          <w:p w:rsidR="008C7348" w:rsidRDefault="008C7348" w:rsidP="00EA75BF">
            <w:pPr>
              <w:widowControl/>
              <w:ind w:leftChars="190" w:left="399" w:firstLineChars="100" w:firstLine="2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数*统计天数），超速平均量高于0.1不得分；疲劳驾驶计分=15-疲劳驾驶平均量，疲劳驾驶平均量=统计期间疲劳驾驶总时长/（重点营运上线车辆数*统计天</w:t>
            </w:r>
          </w:p>
          <w:p w:rsidR="008C7348" w:rsidRDefault="008C7348" w:rsidP="00EA75BF">
            <w:pPr>
              <w:widowControl/>
              <w:ind w:leftChars="190" w:left="399" w:firstLineChars="100" w:firstLine="20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t>数），疲劳驾驶平均量高于0.2不得分。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lang/>
              </w:rPr>
              <w:br/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tbl>
      <w:tblPr>
        <w:tblW w:w="14435" w:type="dxa"/>
        <w:tblInd w:w="93" w:type="dxa"/>
        <w:tblLook w:val="0000"/>
      </w:tblPr>
      <w:tblGrid>
        <w:gridCol w:w="1059"/>
        <w:gridCol w:w="1067"/>
        <w:gridCol w:w="1124"/>
        <w:gridCol w:w="1102"/>
        <w:gridCol w:w="1102"/>
        <w:gridCol w:w="1102"/>
        <w:gridCol w:w="1102"/>
        <w:gridCol w:w="1138"/>
        <w:gridCol w:w="1138"/>
        <w:gridCol w:w="1102"/>
        <w:gridCol w:w="1157"/>
        <w:gridCol w:w="1110"/>
        <w:gridCol w:w="1132"/>
      </w:tblGrid>
      <w:tr w:rsidR="008C7348" w:rsidTr="00EA75BF">
        <w:trPr>
          <w:trHeight w:val="1220"/>
        </w:trPr>
        <w:tc>
          <w:tcPr>
            <w:tcW w:w="141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7348" w:rsidRDefault="008C7348" w:rsidP="00EA75BF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  2022年11月社会化服务商月度考核情况明细表</w:t>
            </w:r>
          </w:p>
        </w:tc>
      </w:tr>
      <w:tr w:rsidR="008C7348" w:rsidTr="00EA75BF">
        <w:trPr>
          <w:trHeight w:val="720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服务商平台名称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基本情况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考评指标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本月考核结果</w:t>
            </w:r>
          </w:p>
        </w:tc>
      </w:tr>
      <w:tr w:rsidR="008C7348" w:rsidTr="00EA75BF">
        <w:trPr>
          <w:trHeight w:val="68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车辆总数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入网车辆数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上线车辆数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上线率（10分）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平台连通率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（20分）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轨迹完整率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（25分）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数据合格率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（25分）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卫星定位漂移车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8C7348" w:rsidTr="008C7348">
        <w:trPr>
          <w:trHeight w:val="607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车辆数（辆）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 xml:space="preserve">比率 </w:t>
            </w:r>
          </w:p>
          <w:p w:rsidR="008C7348" w:rsidRDefault="008C7348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（20分）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8C7348" w:rsidTr="008C7348">
        <w:trPr>
          <w:trHeight w:val="97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100%（10）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100%（20）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92.93%（0）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99.97%（24.99）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0%        （20）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74.99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8C7348">
        <w:trPr>
          <w:trHeight w:val="97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100%（10）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100%（20）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92.7%（0）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100%（25）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5.63%（18.87）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73.87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不合格</w:t>
            </w:r>
          </w:p>
        </w:tc>
      </w:tr>
      <w:tr w:rsidR="008C7348" w:rsidTr="008C7348">
        <w:trPr>
          <w:trHeight w:val="85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100%（10）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100%（20）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96.02%（24.01）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100%（25）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0%        （20）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348" w:rsidRDefault="008C7348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合格</w:t>
            </w:r>
          </w:p>
        </w:tc>
      </w:tr>
      <w:tr w:rsidR="008C7348" w:rsidTr="00EA75BF">
        <w:trPr>
          <w:trHeight w:val="1160"/>
        </w:trPr>
        <w:tc>
          <w:tcPr>
            <w:tcW w:w="1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348" w:rsidRDefault="008C7348" w:rsidP="00EA75BF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注：1.考评指标得分按照甘肃省重点营运车辆监管系统月度考核结果计算，上线率低于100%不得分、平台联通率低于95%不得分、轨迹完整率低于95%不得分、</w:t>
            </w:r>
          </w:p>
          <w:p w:rsidR="008C7348" w:rsidRDefault="008C7348" w:rsidP="00EA75BF">
            <w:pPr>
              <w:widowControl/>
              <w:ind w:firstLineChars="300" w:firstLine="600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数据合格率低于95%不得分、卫星定位漂移车辆率高于30%不得分。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br/>
              <w:t xml:space="preserve">    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992" w:rsidRPr="008C7348" w:rsidRDefault="001E2992" w:rsidP="008C7348">
      <w:pPr>
        <w:rPr>
          <w:b/>
        </w:rPr>
      </w:pPr>
    </w:p>
    <w:sectPr w:rsidR="001E2992" w:rsidRPr="008C7348" w:rsidSect="009831AA">
      <w:pgSz w:w="16838" w:h="11906" w:orient="landscape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45" w:rsidRDefault="00A62F45" w:rsidP="00AC2925">
      <w:r>
        <w:separator/>
      </w:r>
    </w:p>
  </w:endnote>
  <w:endnote w:type="continuationSeparator" w:id="0">
    <w:p w:rsidR="00A62F45" w:rsidRDefault="00A62F45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45" w:rsidRDefault="00A62F45" w:rsidP="00AC2925">
      <w:r>
        <w:separator/>
      </w:r>
    </w:p>
  </w:footnote>
  <w:footnote w:type="continuationSeparator" w:id="0">
    <w:p w:rsidR="00A62F45" w:rsidRDefault="00A62F45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8375E"/>
    <w:rsid w:val="00387345"/>
    <w:rsid w:val="00432087"/>
    <w:rsid w:val="004B47F1"/>
    <w:rsid w:val="004B70B5"/>
    <w:rsid w:val="004D0E3C"/>
    <w:rsid w:val="004D2B6E"/>
    <w:rsid w:val="004E323B"/>
    <w:rsid w:val="005C0B2D"/>
    <w:rsid w:val="005F3B41"/>
    <w:rsid w:val="00662C7A"/>
    <w:rsid w:val="006D40ED"/>
    <w:rsid w:val="006F2C8C"/>
    <w:rsid w:val="00824DEE"/>
    <w:rsid w:val="00842084"/>
    <w:rsid w:val="008C7348"/>
    <w:rsid w:val="008E68F4"/>
    <w:rsid w:val="009132E3"/>
    <w:rsid w:val="00914242"/>
    <w:rsid w:val="009831AA"/>
    <w:rsid w:val="009E7B05"/>
    <w:rsid w:val="00A62F45"/>
    <w:rsid w:val="00AB5D27"/>
    <w:rsid w:val="00AC2925"/>
    <w:rsid w:val="00BA1650"/>
    <w:rsid w:val="00C150C7"/>
    <w:rsid w:val="00C15CCC"/>
    <w:rsid w:val="00C75878"/>
    <w:rsid w:val="00C9312E"/>
    <w:rsid w:val="00CB6A82"/>
    <w:rsid w:val="00D25A3D"/>
    <w:rsid w:val="00D75677"/>
    <w:rsid w:val="00D82439"/>
    <w:rsid w:val="00DA2046"/>
    <w:rsid w:val="00DA68D0"/>
    <w:rsid w:val="00F543D3"/>
    <w:rsid w:val="00FB403E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844</Words>
  <Characters>4817</Characters>
  <Application>Microsoft Office Word</Application>
  <DocSecurity>0</DocSecurity>
  <Lines>40</Lines>
  <Paragraphs>11</Paragraphs>
  <ScaleCrop>false</ScaleCrop>
  <Company>DoubleOX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2021-11-25T06:47:00Z</dcterms:created>
  <dcterms:modified xsi:type="dcterms:W3CDTF">2023-01-10T08:32:00Z</dcterms:modified>
</cp:coreProperties>
</file>