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baseline"/>
        <w:rPr>
          <w:rFonts w:ascii="黑体" w:hAnsi="黑体" w:eastAsia="黑体" w:cs="宋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  <w:lang w:eastAsia="zh-CN"/>
        </w:rPr>
        <w:t>嘉峪关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市文化旅游奖励补贴申请表</w:t>
      </w:r>
    </w:p>
    <w:tbl>
      <w:tblPr>
        <w:tblStyle w:val="3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213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（盖章）</w:t>
            </w:r>
          </w:p>
        </w:tc>
        <w:tc>
          <w:tcPr>
            <w:tcW w:w="645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u w:val="none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/负责人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申请奖补金额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申报政策依据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87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申请企业申明：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本企业不存在偷税漏税等违法违规行为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不存在游客安全与食品安全等重大安全责任事故，不存在造成较大负面影响的重大旅游投诉，不存在数据弄虚作假等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有关法律法规和政策规定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各种不符合申请条件的情况。本企业申报材料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真实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并承担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虚报、瞒报等行为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56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56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法人代表签字：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4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初审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2240" w:firstLineChars="8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年   月   日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复核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（发改、财政、文旅）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4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批准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（市文旅局分管领导）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年   月   日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  <w:lang w:eastAsia="zh-CN"/>
              </w:rPr>
              <w:t>兑现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  <w:u w:val="none"/>
              </w:rPr>
              <w:t>意见：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（市文旅局主要领导）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80" w:lineRule="exact"/>
              <w:ind w:firstLine="420" w:firstLineChars="15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45743"/>
    <w:rsid w:val="105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0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2023-02-27T07:24:00Z</dcterms:created>
  <dc:creator>Administrator</dc:creator>
  <cp:lastModifiedBy>Administrator</cp:lastModifiedBy>
  <dcterms:modified xsi:type="dcterms:W3CDTF">2023-02-27T07:24:26Z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