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rPr>
          <w:rFonts w:hint="eastAsia" w:ascii="黑体" w:hAnsi="宋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附件1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 w:line="540" w:lineRule="exact"/>
        <w:ind w:left="0" w:leftChars="0"/>
        <w:jc w:val="center"/>
        <w:textAlignment w:val="auto"/>
        <w:rPr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二季度高质量发展工作指标任务分解表</w:t>
      </w:r>
    </w:p>
    <w:tbl>
      <w:tblPr>
        <w:tblStyle w:val="12"/>
        <w:tblW w:w="1320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000"/>
        <w:gridCol w:w="1512"/>
        <w:gridCol w:w="686"/>
        <w:gridCol w:w="1971"/>
        <w:gridCol w:w="4993"/>
        <w:gridCol w:w="1590"/>
        <w:gridCol w:w="8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tblHeader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招商引资成效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一季度得6.31分，全省排名第3位。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二季度力争招商引资项目开工率达到100%，资金到位率达到98%以上。综合评价得6.31分以上，全省排名前3位。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市招商引资服务中心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社会消费品零售总额增量及增速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一季度得5.93分，全省排名第1位。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二季度力争社会消费品零售总额增速10%以上，综合评价得5.8分左右，综合排名前3位。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固定资产投资增量及增速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得4.54分，全省排名第15位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二季度力争完成固定资产投资46亿元以上，增速12%左右。综合评价得4.5分，综合排名前10位。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市州亿元以上重点投资计划新开工项目开工率及投资完成率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二季度力争亿元以上重点投资计划新开工项目开工率达到100%，投资完成率达到100%。综合评价得2分，全省排名第1位。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市州省列重大项目完成情况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得1.8分，全省排名第13位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二季度力争省列重大项目年度计划投资完成率达到</w:t>
            </w:r>
            <w:r>
              <w:rPr>
                <w:rStyle w:val="27"/>
                <w:lang w:val="en-US" w:eastAsia="zh-CN" w:bidi="ar"/>
              </w:rPr>
              <w:t>35%以上，完成投资总量22.8亿元，计划新开工项目开工2个，开工率达到100%。综合评价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得1.9分以上，全省排名前10位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专项债券资金使用情况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二季度力争</w:t>
            </w:r>
            <w:r>
              <w:rPr>
                <w:rStyle w:val="27"/>
                <w:lang w:val="en-US" w:eastAsia="zh-CN" w:bidi="ar"/>
              </w:rPr>
              <w:t>2022年专项债券项目的开工率达到80%，支付率达到75%以上。综合评价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生态产业增加值占地区生产总值比重和提升幅度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得5分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二季度力争生态产业增加值占地区生产总值比重达到</w:t>
            </w:r>
            <w:r>
              <w:rPr>
                <w:rStyle w:val="27"/>
                <w:lang w:val="en-US" w:eastAsia="zh-CN" w:bidi="ar"/>
              </w:rPr>
              <w:t>24%以上，综合评价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得5分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市州信用状况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得1.55分，全省排名第5位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</w:t>
            </w:r>
            <w:r>
              <w:rPr>
                <w:rStyle w:val="27"/>
                <w:lang w:val="en-US" w:eastAsia="zh-CN" w:bidi="ar"/>
              </w:rPr>
              <w:t>全国城市信用状况监测平台排名160位以上，“双公示”信息报送合规率达到100%，“甘肃信易贷”平台企业注册达到1620户以上，中小微企业融资监测达到60户以上。综合评价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得1.55分以上，全省排名前5位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市城区人民法院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  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“六保”任务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城镇居民人均可支配收入增量和增速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得6.89分，全省排名第4位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二季度力争城镇居民人均可支配收入增速达到8%，综合评价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得7分，综合排名第1位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农村居民人均可支配收入增量和增速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得6.65分，全省排名第10位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二季度力争农村居民人均可支配收入增速达到8%，综合评价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得6.65分以上，综合排名前10位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城镇新增就业任务完成情况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一季度得3分。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二季度累计完成城镇新增就业3000人次以上，完成年度任务6000人的50%以上，确保综合评价得3分。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输转城乡富余劳动力任务完成情况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一季度得3分。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二季度完成输转城乡富余劳动力6000人次以上，完成年度任务6000人的100%，确保综合评价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得3分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有输转意愿脱贫劳动力输转情况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一季度得3分。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我市无脱贫劳动力输转相关工作任务，综合评价得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城乡低保及特困救助等发放情况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一季度得2分。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通过社区主动发现，困难群众主动申请，实现困难家庭应保尽保，确保综合评价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困难群体临时价格补贴发放情况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得0.9分，全省排名第13位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达到临时价格补贴联动机制启动条件时，保障困难群体临时价格补贴发放到位，确保综合评价得1分。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规上工业增加值增量及增速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得6.46分，全省排名第12位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二季度力争规上工业增加值增速达到8%左右，综合评价得6.5分以上，全省排名前8位。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促进中小微企业发展情况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得5.91分，全省排名第1位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各相关部门全力做好中小微企业发展各项工作，二季度综合评价得5.8分左右，全省排名前3位。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工业固定资产投资增量及增速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得2.75分，全省排名第7位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二季度全市工业固定资产投资完成16.8亿元，其中，酒钢本部完成投资14亿元，地方项目完成2.8亿元，增速同比增长54%以上。综合评价得2.75分以上，全省排名前6位。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加强地方储备粮管理情况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得2分，与部分市州并列第1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按照国务院规定“销区要达到6个月销量的储备量”要求，完成市级储备任务，确保市级原粮储备粮达到37500吨，确保综合评价得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市粮食和储备局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加强成品粮储备管理情况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一季度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得2分，与部分市州并列第1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确保市级成品粮油储备达到10-15天市场供应量，建立1300吨市级成品粮储备，650吨市级食用油储备，确保综合评价得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2分，全省排名第1位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市粮食和储备局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能源保障任务落实情况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一季度得3分。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持续强化油气管网等能源输送设施保护、隐患排查和治理工作，加强电网运维管理和用电保障，确保全市能源供应安全稳定，确保综合评价得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基层机关事业单位正常运转和在职人员工资、离休人员离休费、退休人员养老金按时发放情况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一季度得6分。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lang w:val="en-US" w:eastAsia="zh-CN" w:bidi="ar"/>
              </w:rPr>
              <w:t>确保各项资金按时足额发放到位，确保综合评价得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</w:t>
            </w:r>
            <w:r>
              <w:rPr>
                <w:rStyle w:val="27"/>
                <w:lang w:val="en-US" w:eastAsia="zh-CN" w:bidi="ar"/>
              </w:rPr>
              <w:t>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一季度我市</w:t>
            </w:r>
            <w:r>
              <w:rPr>
                <w:rStyle w:val="27"/>
                <w:lang w:val="en-US" w:eastAsia="zh-CN" w:bidi="ar"/>
              </w:rPr>
              <w:t>地区生产总值增速为4.8%，未超过省上确定的预期目标（7%），不加分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二季度力争实现地区生产总值同比增长7%以上，加1.5分，全省排名第10位左右。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市工信局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市商务局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市政府金融办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减分项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不发生重大及以上突发环境事件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未发生重大及以上突发环境事件。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不发生重大及以上突发环境事件，确保综合评价不扣分。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不发生较大辐射安全事故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未发生较大辐射安全事故。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不发生较大辐射安全事故，确保综合评价不扣分。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不发生重大安全生产事故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未发生重大安全生产事故。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不发生重大安全生产事故，确保综合评价不扣分。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不发生重大食品药品安全事故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未发生重大食品药品安全事故。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不发生重大食品药品安全事故，确保综合评价不扣分。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不发生重大产品和服务质量事件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未发生重大产品和服务质量事件。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不发生重大产品和服务质量事件，确保综合评价不扣分。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不发生重大失信事件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未发生重大失信事件。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不发生重大失信事件，确保综合评价不扣分。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市中级人民法院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市城区人民法院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市市场监管局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  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不发生地方政府债务重大违约事件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未发生地方政府债务重大违约事件。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不发生地方政府债务重大违约事件，确保综合评价不扣分。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不发生重大非法集资案件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未发生重大非法集资案件。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不发生重大非法集资案件，确保综合评价不扣分。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市政府金融办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张壁成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587" w:right="1531" w:bottom="1474" w:left="1531" w:header="0" w:footer="992" w:gutter="0"/>
          <w:pgNumType w:fmt="numberInDash"/>
          <w:cols w:space="720" w:num="1"/>
          <w:formProt w:val="0"/>
          <w:docGrid w:type="lines" w:linePitch="447" w:charSpace="65536"/>
        </w:sect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附件2</w:t>
      </w:r>
    </w:p>
    <w:p>
      <w:pPr>
        <w:pStyle w:val="15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二季度地区生产总值增速目标任务</w:t>
      </w:r>
    </w:p>
    <w:tbl>
      <w:tblPr>
        <w:tblStyle w:val="12"/>
        <w:tblW w:w="88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390"/>
        <w:gridCol w:w="1114"/>
        <w:gridCol w:w="1607"/>
        <w:gridCol w:w="10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Style w:val="22"/>
                <w:lang w:val="en-US" w:eastAsia="zh-CN" w:bidi="ar"/>
              </w:rPr>
              <w:t>年二季度目标（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Style w:val="22"/>
                <w:lang w:val="en-US" w:eastAsia="zh-CN" w:bidi="ar"/>
              </w:rPr>
              <w:t>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管理部门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GDP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工业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国资委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规上工业增加值增速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规下工业增加值增速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建筑业产值增速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铁路运输总周转量增长速度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兰铁局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省返数据，全省各市州使用同一增速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当期公路运输总周转量增长速度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当期航空运输总周转量增长速度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机场集团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当期多式联运和运输代理业营业收入增长速度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兰铁局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机场集团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当期装卸搬运和仓储业营业收入增长速度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兰铁局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机场集团</w:t>
            </w: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当期邮政行业业务总量增长速度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邮政管理局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本年当期批发业商品销售额现价增长速度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本年当期零售业销售总额增长速度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当期住宿业营业额现价增长速度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当期餐饮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业营业额现价增长速度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当期商品房销售面积增长速度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房产服务中心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当期房地产业工资总额现价增长速度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当期人民币存款余额增长速度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市政府金融办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当期人民币贷款余额增长速度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当期证券交易额增长速度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银保监局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省返数据，全省各市州使用同一增速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当期保费收入增长速度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银保监局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当期电信业务总量增长速度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当期租赁和商务服务业营业收入现价增长速度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当期科学研究和技术服务业营业收入现价增长速度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当期科学研究和技术服务业工资总额现价增长速度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当期居民服务、修理和其他服务业营业收入现价增长速度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当期文化、体育和娱乐业营业收入现价增长速度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当期文化、体育和娱乐业工资总额现价增长速度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当期水利、环境和公共设施管理业工资总额现价增长速度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当期教育业工资总额现价增长速度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当期卫生和社会工作工资总额现价增长速度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当期公共管理、社会保障和社会组织工资总额现价增长速度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  <w:sz w:val="21"/>
          <w:szCs w:val="21"/>
          <w:lang w:eastAsia="zh-CN"/>
        </w:rPr>
      </w:pPr>
    </w:p>
    <w:sectPr>
      <w:pgSz w:w="11906" w:h="16838"/>
      <w:pgMar w:top="1984" w:right="1474" w:bottom="1871" w:left="1587" w:header="0" w:footer="992" w:gutter="0"/>
      <w:pgNumType w:fmt="numberInDash"/>
      <w:cols w:space="720" w:num="1"/>
      <w:formProt w:val="0"/>
      <w:docGrid w:type="lines" w:linePitch="447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;微软雅黑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FkODYyZDU4NGRiYzQ0OWRjMTE0YzAwNWM4NTAifQ=="/>
  </w:docVars>
  <w:rsids>
    <w:rsidRoot w:val="00000000"/>
    <w:rsid w:val="053E51C0"/>
    <w:rsid w:val="07950B26"/>
    <w:rsid w:val="08147C9D"/>
    <w:rsid w:val="08B9328D"/>
    <w:rsid w:val="09D56E34"/>
    <w:rsid w:val="0B116715"/>
    <w:rsid w:val="0BBC0D77"/>
    <w:rsid w:val="0D0B598B"/>
    <w:rsid w:val="0E651252"/>
    <w:rsid w:val="0FB2629C"/>
    <w:rsid w:val="13765609"/>
    <w:rsid w:val="153F699F"/>
    <w:rsid w:val="17A374DC"/>
    <w:rsid w:val="19375E16"/>
    <w:rsid w:val="1F2803CA"/>
    <w:rsid w:val="20B32A27"/>
    <w:rsid w:val="21D34BB6"/>
    <w:rsid w:val="26920F4C"/>
    <w:rsid w:val="295C16A6"/>
    <w:rsid w:val="2EAC33F8"/>
    <w:rsid w:val="2EC26CB6"/>
    <w:rsid w:val="2F542005"/>
    <w:rsid w:val="2F5A7DDB"/>
    <w:rsid w:val="2F6916BD"/>
    <w:rsid w:val="2FC946E0"/>
    <w:rsid w:val="311D7B96"/>
    <w:rsid w:val="32115802"/>
    <w:rsid w:val="326F3B9E"/>
    <w:rsid w:val="32AD269B"/>
    <w:rsid w:val="39C17462"/>
    <w:rsid w:val="3A4B4EF0"/>
    <w:rsid w:val="3D3B5FE2"/>
    <w:rsid w:val="3D5E7822"/>
    <w:rsid w:val="3EA80508"/>
    <w:rsid w:val="3F4C155F"/>
    <w:rsid w:val="41044134"/>
    <w:rsid w:val="41513FF2"/>
    <w:rsid w:val="424C12DF"/>
    <w:rsid w:val="42712A6F"/>
    <w:rsid w:val="44240C8C"/>
    <w:rsid w:val="44357E44"/>
    <w:rsid w:val="46144412"/>
    <w:rsid w:val="47605606"/>
    <w:rsid w:val="48AD553E"/>
    <w:rsid w:val="49423962"/>
    <w:rsid w:val="49EB7EBC"/>
    <w:rsid w:val="4C483315"/>
    <w:rsid w:val="4CEA25B3"/>
    <w:rsid w:val="4FA141E4"/>
    <w:rsid w:val="50CD5AD3"/>
    <w:rsid w:val="5401788C"/>
    <w:rsid w:val="57062473"/>
    <w:rsid w:val="57335823"/>
    <w:rsid w:val="57653877"/>
    <w:rsid w:val="57AA568A"/>
    <w:rsid w:val="59052AE0"/>
    <w:rsid w:val="591F3BA7"/>
    <w:rsid w:val="5D7149EC"/>
    <w:rsid w:val="5EE623B8"/>
    <w:rsid w:val="5F3B6B68"/>
    <w:rsid w:val="6232458D"/>
    <w:rsid w:val="62B65A6F"/>
    <w:rsid w:val="64891A0F"/>
    <w:rsid w:val="64F53E28"/>
    <w:rsid w:val="64FA5B74"/>
    <w:rsid w:val="66577102"/>
    <w:rsid w:val="6707201B"/>
    <w:rsid w:val="676B07FC"/>
    <w:rsid w:val="6841005F"/>
    <w:rsid w:val="68521322"/>
    <w:rsid w:val="693819EB"/>
    <w:rsid w:val="6A4C483E"/>
    <w:rsid w:val="6C4C14D3"/>
    <w:rsid w:val="6CFA7718"/>
    <w:rsid w:val="6F6F198C"/>
    <w:rsid w:val="715F6DAE"/>
    <w:rsid w:val="73E665BB"/>
    <w:rsid w:val="74EF6244"/>
    <w:rsid w:val="76100EE8"/>
    <w:rsid w:val="7A097A01"/>
    <w:rsid w:val="7A287B2E"/>
    <w:rsid w:val="7A356504"/>
    <w:rsid w:val="7B9E7BCF"/>
    <w:rsid w:val="7BCC6F38"/>
    <w:rsid w:val="7D612263"/>
    <w:rsid w:val="7DDC1BC3"/>
    <w:rsid w:val="7E936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line="360" w:lineRule="auto"/>
      <w:ind w:firstLine="420"/>
    </w:pPr>
    <w:rPr>
      <w:spacing w:val="2"/>
      <w:kern w:val="56"/>
      <w:sz w:val="30"/>
      <w:szCs w:val="24"/>
    </w:r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640" w:firstLineChars="200"/>
    </w:pPr>
    <w:rPr>
      <w:rFonts w:ascii="方正仿宋" w:hAnsi="仿宋" w:eastAsia="方正仿宋"/>
      <w:sz w:val="32"/>
      <w:szCs w:val="32"/>
    </w:r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Body Text"/>
    <w:basedOn w:val="6"/>
    <w:qFormat/>
    <w:uiPriority w:val="0"/>
    <w:pPr>
      <w:snapToGrid w:val="0"/>
      <w:spacing w:line="560" w:lineRule="exact"/>
    </w:pPr>
    <w:rPr>
      <w:rFonts w:ascii="仿宋_GB2312" w:hAnsi="仿宋_GB2312" w:eastAsia="仿宋_GB2312"/>
      <w:bCs/>
      <w:sz w:val="32"/>
      <w:szCs w:val="36"/>
    </w:rPr>
  </w:style>
  <w:style w:type="paragraph" w:customStyle="1" w:styleId="6">
    <w:name w:val="正文1"/>
    <w:next w:val="7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仿宋_GB2312" w:cs="Times New Roman"/>
      <w:color w:val="auto"/>
      <w:kern w:val="2"/>
      <w:sz w:val="32"/>
      <w:szCs w:val="24"/>
      <w:lang w:val="en-US" w:eastAsia="zh-CN" w:bidi="ar-SA"/>
    </w:rPr>
  </w:style>
  <w:style w:type="paragraph" w:customStyle="1" w:styleId="7">
    <w:name w:val="Normal Indent1"/>
    <w:basedOn w:val="6"/>
    <w:next w:val="8"/>
    <w:qFormat/>
    <w:uiPriority w:val="0"/>
    <w:pPr>
      <w:ind w:firstLine="0" w:firstLineChars="200"/>
    </w:pPr>
    <w:rPr>
      <w:rFonts w:ascii="Calibri" w:hAnsi="Calibri" w:eastAsia="宋体"/>
      <w:szCs w:val="24"/>
    </w:rPr>
  </w:style>
  <w:style w:type="paragraph" w:styleId="8">
    <w:name w:val="index 7"/>
    <w:basedOn w:val="6"/>
    <w:next w:val="6"/>
    <w:qFormat/>
    <w:uiPriority w:val="99"/>
    <w:pPr>
      <w:ind w:left="252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Body Text Indent 21"/>
    <w:basedOn w:val="1"/>
    <w:qFormat/>
    <w:uiPriority w:val="0"/>
    <w:pPr>
      <w:spacing w:line="480" w:lineRule="auto"/>
      <w:ind w:left="420" w:leftChars="200"/>
    </w:pPr>
    <w:rPr>
      <w:rFonts w:ascii="Calibri" w:hAnsi="Calibri" w:eastAsia="宋体"/>
    </w:rPr>
  </w:style>
  <w:style w:type="paragraph" w:customStyle="1" w:styleId="16">
    <w:name w:val="页脚1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Body text|1"/>
    <w:basedOn w:val="6"/>
    <w:qFormat/>
    <w:uiPriority w:val="99"/>
    <w:pPr>
      <w:spacing w:line="480" w:lineRule="auto"/>
      <w:jc w:val="left"/>
    </w:pPr>
    <w:rPr>
      <w:rFonts w:ascii="宋体" w:hAnsi="宋体" w:cs="宋体"/>
      <w:kern w:val="0"/>
      <w:sz w:val="26"/>
      <w:szCs w:val="26"/>
      <w:lang w:val="zh-TW" w:eastAsia="zh-TW"/>
    </w:rPr>
  </w:style>
  <w:style w:type="paragraph" w:customStyle="1" w:styleId="18">
    <w:name w:val="正文（公文）"/>
    <w:basedOn w:val="6"/>
    <w:qFormat/>
    <w:uiPriority w:val="0"/>
    <w:pPr>
      <w:spacing w:line="580" w:lineRule="exact"/>
    </w:pPr>
    <w:rPr>
      <w:rFonts w:eastAsia="方正仿宋_GBK;微软雅黑"/>
      <w:sz w:val="32"/>
    </w:rPr>
  </w:style>
  <w:style w:type="character" w:customStyle="1" w:styleId="19">
    <w:name w:val="font6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7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9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3">
    <w:name w:val="font4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4">
    <w:name w:val="font8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2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3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7357</Words>
  <Characters>7788</Characters>
  <Paragraphs>507</Paragraphs>
  <TotalTime>47</TotalTime>
  <ScaleCrop>false</ScaleCrop>
  <LinksUpToDate>false</LinksUpToDate>
  <CharactersWithSpaces>7834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2019-09-17T00:18:00Z</dcterms:created>
  <dc:creator>Administrator</dc:creator>
  <cp:lastModifiedBy>Administrator</cp:lastModifiedBy>
  <cp:lastPrinted>2022-06-20T03:43:24Z</cp:lastPrinted>
  <dcterms:modified xsi:type="dcterms:W3CDTF">2022-06-20T03:44:14Z</dcterms:modified>
  <dc:title>市政府常务会议材料                                 000001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B922E5F85C6E4B22AAEA29AB62AADEF0</vt:lpwstr>
  </property>
  <property fmtid="{D5CDD505-2E9C-101B-9397-08002B2CF9AE}" pid="3" name="KSOProductBuildVer">
    <vt:lpwstr>2052-11.1.0.10314</vt:lpwstr>
  </property>
</Properties>
</file>